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C17" w14:textId="2F0248D4" w:rsidR="00782869" w:rsidRPr="008524CA" w:rsidRDefault="00782869" w:rsidP="00782869">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- 1</w:t>
      </w:r>
      <w:r w:rsidR="00750A16">
        <w:rPr>
          <w:rFonts w:ascii="Cambria" w:eastAsia="Cambria" w:hAnsi="Cambria" w:cs="Times New Roman"/>
          <w:color w:val="FFFFFF"/>
          <w:sz w:val="24"/>
          <w:szCs w:val="24"/>
        </w:rPr>
        <w:t>9</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April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14:paraId="36D2606F" w14:textId="17F5093A" w:rsidR="00782869" w:rsidRPr="00782869" w:rsidRDefault="00000000" w:rsidP="00782869">
      <w:pPr>
        <w:spacing w:after="200"/>
        <w:jc w:val="center"/>
        <w:rPr>
          <w:rFonts w:ascii="Cambria" w:eastAsia="Cambria" w:hAnsi="Cambria" w:cs="Times New Roman"/>
          <w:color w:val="00000A"/>
          <w:sz w:val="28"/>
          <w:szCs w:val="24"/>
          <w:u w:val="single"/>
        </w:rPr>
      </w:pPr>
      <w:hyperlink r:id="rId7" w:history="1">
        <w:r w:rsidR="00782869" w:rsidRPr="00365171">
          <w:rPr>
            <w:rStyle w:val="a3"/>
            <w:rFonts w:ascii="Cambria" w:eastAsia="Cambria" w:hAnsi="Cambria"/>
            <w:sz w:val="28"/>
            <w:szCs w:val="24"/>
          </w:rPr>
          <w:t>online version</w:t>
        </w:r>
      </w:hyperlink>
    </w:p>
    <w:p w14:paraId="259D7E91" w14:textId="0284AC4B" w:rsidR="00DF7624" w:rsidRPr="00DA5E70" w:rsidRDefault="00DF7624" w:rsidP="00DA5E70">
      <w:pPr>
        <w:jc w:val="center"/>
        <w:rPr>
          <w:rFonts w:ascii="Arial" w:hAnsi="Arial" w:cs="Arial"/>
          <w:b/>
          <w:color w:val="FF0000"/>
          <w:sz w:val="20"/>
          <w:szCs w:val="20"/>
        </w:rPr>
      </w:pPr>
      <w:r w:rsidRPr="00DA5E70">
        <w:rPr>
          <w:rFonts w:ascii="Arial" w:hAnsi="Arial" w:cs="Arial"/>
          <w:b/>
          <w:color w:val="FF0000"/>
          <w:sz w:val="20"/>
          <w:szCs w:val="20"/>
        </w:rPr>
        <w:t xml:space="preserve">HKEX </w:t>
      </w:r>
      <w:r w:rsidR="00AB4EF8" w:rsidRPr="00DA5E70">
        <w:rPr>
          <w:rFonts w:ascii="Arial" w:hAnsi="Arial" w:cs="Arial"/>
          <w:b/>
          <w:color w:val="FF0000"/>
          <w:sz w:val="20"/>
          <w:szCs w:val="20"/>
        </w:rPr>
        <w:t>P</w:t>
      </w:r>
      <w:r w:rsidR="00DA5E70" w:rsidRPr="00DA5E70">
        <w:rPr>
          <w:rFonts w:ascii="Arial" w:hAnsi="Arial" w:cs="Arial"/>
          <w:b/>
          <w:color w:val="FF0000"/>
          <w:sz w:val="20"/>
          <w:szCs w:val="20"/>
        </w:rPr>
        <w:t xml:space="preserve">ublishes </w:t>
      </w:r>
      <w:r w:rsidRPr="00DA5E70">
        <w:rPr>
          <w:rFonts w:ascii="Arial" w:hAnsi="Arial" w:cs="Arial"/>
          <w:b/>
          <w:color w:val="FF0000"/>
          <w:sz w:val="20"/>
          <w:szCs w:val="20"/>
        </w:rPr>
        <w:t>March 2023 Enforcement Bulletin</w:t>
      </w:r>
      <w:r w:rsidR="00DA5E70" w:rsidRPr="00DA5E70">
        <w:rPr>
          <w:rFonts w:ascii="Arial" w:hAnsi="Arial" w:cs="Arial"/>
          <w:b/>
          <w:color w:val="FF0000"/>
          <w:sz w:val="20"/>
          <w:szCs w:val="20"/>
        </w:rPr>
        <w:t xml:space="preserve"> with Focus on Disclosure</w:t>
      </w:r>
    </w:p>
    <w:p w14:paraId="260D48D5" w14:textId="77777777" w:rsidR="008E32D7" w:rsidRDefault="001F3338" w:rsidP="00DA5E70">
      <w:pPr>
        <w:jc w:val="both"/>
        <w:rPr>
          <w:rFonts w:ascii="Arial" w:hAnsi="Arial" w:cs="Arial"/>
          <w:sz w:val="20"/>
          <w:szCs w:val="20"/>
        </w:rPr>
      </w:pPr>
      <w:r w:rsidRPr="00041066">
        <w:rPr>
          <w:rFonts w:ascii="Arial" w:hAnsi="Arial" w:cs="Arial"/>
          <w:sz w:val="20"/>
          <w:szCs w:val="20"/>
        </w:rPr>
        <w:t>On 20 March 2023, the Stock Exchange of Hong Kong Limited (</w:t>
      </w:r>
      <w:r w:rsidRPr="00DA5E70">
        <w:rPr>
          <w:rFonts w:ascii="Arial" w:hAnsi="Arial" w:cs="Arial"/>
          <w:b/>
          <w:sz w:val="20"/>
          <w:szCs w:val="20"/>
        </w:rPr>
        <w:t>HKEX</w:t>
      </w:r>
      <w:r w:rsidRPr="00041066">
        <w:rPr>
          <w:rFonts w:ascii="Arial" w:hAnsi="Arial" w:cs="Arial"/>
          <w:sz w:val="20"/>
          <w:szCs w:val="20"/>
        </w:rPr>
        <w:t xml:space="preserve">) published the </w:t>
      </w:r>
      <w:hyperlink r:id="rId8" w:history="1">
        <w:r w:rsidRPr="00041066">
          <w:rPr>
            <w:rStyle w:val="a3"/>
            <w:rFonts w:ascii="Arial" w:hAnsi="Arial" w:cs="Arial"/>
            <w:sz w:val="20"/>
            <w:szCs w:val="20"/>
          </w:rPr>
          <w:t>March 2023 edition of its Enforcement Bulletin</w:t>
        </w:r>
      </w:hyperlink>
      <w:r w:rsidRPr="00041066">
        <w:rPr>
          <w:rFonts w:ascii="Arial" w:hAnsi="Arial" w:cs="Arial"/>
          <w:sz w:val="20"/>
          <w:szCs w:val="20"/>
        </w:rPr>
        <w:t xml:space="preserve">, </w:t>
      </w:r>
      <w:proofErr w:type="spellStart"/>
      <w:r w:rsidR="00DA5E70">
        <w:rPr>
          <w:rFonts w:ascii="Arial" w:hAnsi="Arial" w:cs="Arial"/>
          <w:sz w:val="20"/>
          <w:szCs w:val="20"/>
        </w:rPr>
        <w:t>emphasis</w:t>
      </w:r>
      <w:r w:rsidR="00080036" w:rsidRPr="00041066">
        <w:rPr>
          <w:rFonts w:ascii="Arial" w:hAnsi="Arial" w:cs="Arial"/>
          <w:sz w:val="20"/>
          <w:szCs w:val="20"/>
        </w:rPr>
        <w:t>ing</w:t>
      </w:r>
      <w:proofErr w:type="spellEnd"/>
      <w:r w:rsidR="00080036" w:rsidRPr="00041066">
        <w:rPr>
          <w:rFonts w:ascii="Arial" w:hAnsi="Arial" w:cs="Arial"/>
          <w:sz w:val="20"/>
          <w:szCs w:val="20"/>
        </w:rPr>
        <w:t xml:space="preserve"> the importance of proper disclosure</w:t>
      </w:r>
      <w:r w:rsidR="00BA04F7">
        <w:rPr>
          <w:rFonts w:ascii="Arial" w:hAnsi="Arial" w:cs="Arial"/>
          <w:sz w:val="20"/>
          <w:szCs w:val="20"/>
        </w:rPr>
        <w:t xml:space="preserve"> by listed issuers and their directors</w:t>
      </w:r>
      <w:r w:rsidR="00080036" w:rsidRPr="00041066">
        <w:rPr>
          <w:rFonts w:ascii="Arial" w:hAnsi="Arial" w:cs="Arial"/>
          <w:sz w:val="20"/>
          <w:szCs w:val="20"/>
        </w:rPr>
        <w:t xml:space="preserve"> and the consequences of providing misleading or incomplete information. The bulletin provides</w:t>
      </w:r>
      <w:r w:rsidR="00434011">
        <w:rPr>
          <w:rFonts w:ascii="Arial" w:hAnsi="Arial" w:cs="Arial"/>
          <w:sz w:val="20"/>
          <w:szCs w:val="20"/>
        </w:rPr>
        <w:t xml:space="preserve"> guidance on the </w:t>
      </w:r>
      <w:r w:rsidR="00853F8B">
        <w:rPr>
          <w:rFonts w:ascii="Arial" w:hAnsi="Arial" w:cs="Arial"/>
          <w:sz w:val="20"/>
          <w:szCs w:val="20"/>
        </w:rPr>
        <w:t xml:space="preserve">HKEX Listing Rules’ disclosure requirements </w:t>
      </w:r>
      <w:r w:rsidR="00080036" w:rsidRPr="00041066">
        <w:rPr>
          <w:rFonts w:ascii="Arial" w:hAnsi="Arial" w:cs="Arial"/>
          <w:sz w:val="20"/>
          <w:szCs w:val="20"/>
        </w:rPr>
        <w:t xml:space="preserve">and </w:t>
      </w:r>
      <w:r w:rsidR="00853F8B">
        <w:rPr>
          <w:rFonts w:ascii="Arial" w:hAnsi="Arial" w:cs="Arial"/>
          <w:sz w:val="20"/>
          <w:szCs w:val="20"/>
        </w:rPr>
        <w:t xml:space="preserve">the HKEX’s </w:t>
      </w:r>
      <w:r w:rsidR="00080036" w:rsidRPr="00041066">
        <w:rPr>
          <w:rFonts w:ascii="Arial" w:hAnsi="Arial" w:cs="Arial"/>
          <w:sz w:val="20"/>
          <w:szCs w:val="20"/>
        </w:rPr>
        <w:t xml:space="preserve">expectations </w:t>
      </w:r>
      <w:r w:rsidR="00853F8B">
        <w:rPr>
          <w:rFonts w:ascii="Arial" w:hAnsi="Arial" w:cs="Arial"/>
          <w:sz w:val="20"/>
          <w:szCs w:val="20"/>
        </w:rPr>
        <w:t xml:space="preserve">relating to disclosure. The HKEX </w:t>
      </w:r>
      <w:r w:rsidR="008E32D7">
        <w:rPr>
          <w:rFonts w:ascii="Arial" w:hAnsi="Arial" w:cs="Arial"/>
          <w:sz w:val="20"/>
          <w:szCs w:val="20"/>
        </w:rPr>
        <w:t xml:space="preserve">highlights </w:t>
      </w:r>
      <w:r w:rsidR="00853F8B">
        <w:rPr>
          <w:rFonts w:ascii="Arial" w:hAnsi="Arial" w:cs="Arial"/>
          <w:sz w:val="20"/>
          <w:szCs w:val="20"/>
        </w:rPr>
        <w:t xml:space="preserve">concerns </w:t>
      </w:r>
      <w:r w:rsidR="008E32D7">
        <w:rPr>
          <w:rFonts w:ascii="Arial" w:hAnsi="Arial" w:cs="Arial"/>
          <w:sz w:val="20"/>
          <w:szCs w:val="20"/>
        </w:rPr>
        <w:t xml:space="preserve">in relation to </w:t>
      </w:r>
      <w:r w:rsidR="00111D7A" w:rsidRPr="00041066">
        <w:rPr>
          <w:rFonts w:ascii="Arial" w:hAnsi="Arial" w:cs="Arial"/>
          <w:sz w:val="20"/>
          <w:szCs w:val="20"/>
        </w:rPr>
        <w:t>disclosure</w:t>
      </w:r>
      <w:r w:rsidR="00111D7A">
        <w:rPr>
          <w:rFonts w:ascii="Arial" w:hAnsi="Arial" w:cs="Arial"/>
          <w:sz w:val="20"/>
          <w:szCs w:val="20"/>
        </w:rPr>
        <w:t>s</w:t>
      </w:r>
      <w:r w:rsidR="00111D7A" w:rsidRPr="00041066">
        <w:rPr>
          <w:rFonts w:ascii="Arial" w:hAnsi="Arial" w:cs="Arial"/>
          <w:sz w:val="20"/>
          <w:szCs w:val="20"/>
        </w:rPr>
        <w:t xml:space="preserve"> </w:t>
      </w:r>
      <w:r w:rsidR="00111D7A">
        <w:rPr>
          <w:rFonts w:ascii="Arial" w:hAnsi="Arial" w:cs="Arial"/>
          <w:sz w:val="20"/>
          <w:szCs w:val="20"/>
        </w:rPr>
        <w:t xml:space="preserve">by </w:t>
      </w:r>
      <w:r w:rsidR="00111D7A" w:rsidRPr="00041066">
        <w:rPr>
          <w:rFonts w:ascii="Arial" w:hAnsi="Arial" w:cs="Arial"/>
          <w:sz w:val="20"/>
          <w:szCs w:val="20"/>
        </w:rPr>
        <w:t>newly-listed issuers</w:t>
      </w:r>
      <w:r w:rsidR="00085A6D">
        <w:rPr>
          <w:rFonts w:ascii="Arial" w:hAnsi="Arial" w:cs="Arial"/>
          <w:sz w:val="20"/>
          <w:szCs w:val="20"/>
        </w:rPr>
        <w:t xml:space="preserve"> (including non-disclosure of changes in the use of IPO proceeds and expenditure incurred shortly after listing) </w:t>
      </w:r>
      <w:r w:rsidR="008E32D7">
        <w:rPr>
          <w:rFonts w:ascii="Arial" w:hAnsi="Arial" w:cs="Arial"/>
          <w:sz w:val="20"/>
          <w:szCs w:val="20"/>
        </w:rPr>
        <w:t>and announcements rendered misleading by the omission of information</w:t>
      </w:r>
      <w:r w:rsidR="00085A6D">
        <w:rPr>
          <w:rFonts w:ascii="Arial" w:hAnsi="Arial" w:cs="Arial"/>
          <w:sz w:val="20"/>
          <w:szCs w:val="20"/>
        </w:rPr>
        <w:t>, examples of which often include announcements of directors’ and auditors’ resignations</w:t>
      </w:r>
      <w:r w:rsidR="008E32D7">
        <w:rPr>
          <w:rFonts w:ascii="Arial" w:hAnsi="Arial" w:cs="Arial"/>
          <w:sz w:val="20"/>
          <w:szCs w:val="20"/>
        </w:rPr>
        <w:t xml:space="preserve">. </w:t>
      </w:r>
    </w:p>
    <w:p w14:paraId="66AFEA25" w14:textId="77777777" w:rsidR="00051AF8" w:rsidRPr="00041066" w:rsidRDefault="00E42E97" w:rsidP="00DA5E70">
      <w:pPr>
        <w:jc w:val="both"/>
        <w:rPr>
          <w:rFonts w:ascii="Arial" w:hAnsi="Arial" w:cs="Arial"/>
          <w:b/>
          <w:sz w:val="20"/>
          <w:szCs w:val="20"/>
        </w:rPr>
      </w:pPr>
      <w:r w:rsidRPr="004A14E7">
        <w:rPr>
          <w:rFonts w:ascii="Arial" w:hAnsi="Arial" w:cs="Arial"/>
          <w:b/>
          <w:color w:val="FF0000"/>
          <w:sz w:val="20"/>
          <w:szCs w:val="20"/>
        </w:rPr>
        <w:t>HKEX</w:t>
      </w:r>
      <w:r w:rsidR="00E87DB0" w:rsidRPr="004A14E7">
        <w:rPr>
          <w:rFonts w:ascii="Arial" w:hAnsi="Arial" w:cs="Arial"/>
          <w:b/>
          <w:color w:val="FF0000"/>
          <w:sz w:val="20"/>
          <w:szCs w:val="20"/>
        </w:rPr>
        <w:t xml:space="preserve"> Listing Rules</w:t>
      </w:r>
      <w:r w:rsidRPr="004A14E7">
        <w:rPr>
          <w:rFonts w:ascii="Arial" w:hAnsi="Arial" w:cs="Arial"/>
          <w:b/>
          <w:color w:val="FF0000"/>
          <w:sz w:val="20"/>
          <w:szCs w:val="20"/>
        </w:rPr>
        <w:t>’</w:t>
      </w:r>
      <w:r w:rsidR="00E87DB0" w:rsidRPr="004A14E7">
        <w:rPr>
          <w:rFonts w:ascii="Arial" w:hAnsi="Arial" w:cs="Arial"/>
          <w:b/>
          <w:color w:val="FF0000"/>
          <w:sz w:val="20"/>
          <w:szCs w:val="20"/>
        </w:rPr>
        <w:t xml:space="preserve"> Disclosure</w:t>
      </w:r>
      <w:r w:rsidRPr="004A14E7">
        <w:rPr>
          <w:rFonts w:ascii="Arial" w:hAnsi="Arial" w:cs="Arial"/>
          <w:b/>
          <w:color w:val="FF0000"/>
          <w:sz w:val="20"/>
          <w:szCs w:val="20"/>
        </w:rPr>
        <w:t xml:space="preserve"> Requirements</w:t>
      </w:r>
      <w:r w:rsidR="00EA20F4" w:rsidRPr="00041066">
        <w:rPr>
          <w:rFonts w:ascii="Arial" w:hAnsi="Arial" w:cs="Arial"/>
          <w:b/>
          <w:sz w:val="20"/>
          <w:szCs w:val="20"/>
        </w:rPr>
        <w:t xml:space="preserve"> </w:t>
      </w:r>
    </w:p>
    <w:p w14:paraId="05B67452" w14:textId="77777777" w:rsidR="00046593" w:rsidRPr="00041066" w:rsidRDefault="00E87DB0" w:rsidP="00DA5E70">
      <w:pPr>
        <w:jc w:val="both"/>
        <w:rPr>
          <w:rFonts w:ascii="Arial" w:hAnsi="Arial" w:cs="Arial"/>
          <w:sz w:val="20"/>
          <w:szCs w:val="20"/>
        </w:rPr>
      </w:pPr>
      <w:r>
        <w:rPr>
          <w:rFonts w:ascii="Arial" w:hAnsi="Arial" w:cs="Arial"/>
          <w:sz w:val="20"/>
          <w:szCs w:val="20"/>
        </w:rPr>
        <w:t xml:space="preserve">Timely disclosure of accurate information is a key obligation of companies listed on the HKEX. The general principles </w:t>
      </w:r>
      <w:r w:rsidR="005C2854">
        <w:rPr>
          <w:rFonts w:ascii="Arial" w:hAnsi="Arial" w:cs="Arial"/>
          <w:sz w:val="20"/>
          <w:szCs w:val="20"/>
        </w:rPr>
        <w:t xml:space="preserve">set out in </w:t>
      </w:r>
      <w:r w:rsidR="00E42E97" w:rsidRPr="00041066">
        <w:rPr>
          <w:rFonts w:ascii="Arial" w:hAnsi="Arial" w:cs="Arial"/>
          <w:sz w:val="20"/>
          <w:szCs w:val="20"/>
        </w:rPr>
        <w:t>HKEX</w:t>
      </w:r>
      <w:r w:rsidR="005C2854">
        <w:rPr>
          <w:rFonts w:ascii="Arial" w:hAnsi="Arial" w:cs="Arial"/>
          <w:sz w:val="20"/>
          <w:szCs w:val="20"/>
        </w:rPr>
        <w:t xml:space="preserve"> Listing Rule 2.03</w:t>
      </w:r>
      <w:r>
        <w:rPr>
          <w:rFonts w:ascii="Arial" w:hAnsi="Arial" w:cs="Arial"/>
          <w:sz w:val="20"/>
          <w:szCs w:val="20"/>
        </w:rPr>
        <w:t xml:space="preserve"> </w:t>
      </w:r>
      <w:r w:rsidR="005C2854">
        <w:rPr>
          <w:rFonts w:ascii="Arial" w:hAnsi="Arial" w:cs="Arial"/>
          <w:sz w:val="20"/>
          <w:szCs w:val="20"/>
        </w:rPr>
        <w:t>stress</w:t>
      </w:r>
      <w:r w:rsidR="00E42E97" w:rsidRPr="00041066">
        <w:rPr>
          <w:rFonts w:ascii="Arial" w:hAnsi="Arial" w:cs="Arial"/>
          <w:sz w:val="20"/>
          <w:szCs w:val="20"/>
        </w:rPr>
        <w:t xml:space="preserve"> the importance of ensuring that investors receive sufficient information to make an assessment of an issuer and </w:t>
      </w:r>
      <w:r w:rsidR="005C2854">
        <w:rPr>
          <w:rFonts w:ascii="Arial" w:hAnsi="Arial" w:cs="Arial"/>
          <w:sz w:val="20"/>
          <w:szCs w:val="20"/>
        </w:rPr>
        <w:t>are kept informed of</w:t>
      </w:r>
      <w:r w:rsidR="00E42E97" w:rsidRPr="00041066">
        <w:rPr>
          <w:rFonts w:ascii="Arial" w:hAnsi="Arial" w:cs="Arial"/>
          <w:sz w:val="20"/>
          <w:szCs w:val="20"/>
        </w:rPr>
        <w:t xml:space="preserve"> material factors </w:t>
      </w:r>
      <w:r w:rsidR="00EA20F4" w:rsidRPr="00041066">
        <w:rPr>
          <w:rFonts w:ascii="Arial" w:hAnsi="Arial" w:cs="Arial"/>
          <w:sz w:val="20"/>
          <w:szCs w:val="20"/>
        </w:rPr>
        <w:t xml:space="preserve">that may affect </w:t>
      </w:r>
      <w:r w:rsidR="00E42E97" w:rsidRPr="00041066">
        <w:rPr>
          <w:rFonts w:ascii="Arial" w:hAnsi="Arial" w:cs="Arial"/>
          <w:sz w:val="20"/>
          <w:szCs w:val="20"/>
        </w:rPr>
        <w:t xml:space="preserve">their interests. </w:t>
      </w:r>
      <w:r w:rsidR="005C2854">
        <w:rPr>
          <w:rFonts w:ascii="Arial" w:hAnsi="Arial" w:cs="Arial"/>
          <w:sz w:val="20"/>
          <w:szCs w:val="20"/>
        </w:rPr>
        <w:t xml:space="preserve">The HKEX Listing Rules also require disclosures to be made in a number of specific situations. </w:t>
      </w:r>
      <w:r w:rsidR="009F3C4E">
        <w:rPr>
          <w:rFonts w:ascii="Arial" w:hAnsi="Arial" w:cs="Arial"/>
          <w:sz w:val="20"/>
          <w:szCs w:val="20"/>
        </w:rPr>
        <w:t xml:space="preserve">HKEX </w:t>
      </w:r>
      <w:r w:rsidR="001E26AE" w:rsidRPr="00041066">
        <w:rPr>
          <w:rFonts w:ascii="Arial" w:hAnsi="Arial" w:cs="Arial"/>
          <w:sz w:val="20"/>
          <w:szCs w:val="20"/>
        </w:rPr>
        <w:t>L</w:t>
      </w:r>
      <w:r w:rsidR="00046593" w:rsidRPr="00041066">
        <w:rPr>
          <w:rFonts w:ascii="Arial" w:hAnsi="Arial" w:cs="Arial"/>
          <w:sz w:val="20"/>
          <w:szCs w:val="20"/>
        </w:rPr>
        <w:t xml:space="preserve">isting Rule 2.13 </w:t>
      </w:r>
      <w:r w:rsidR="009F3C4E">
        <w:rPr>
          <w:rFonts w:ascii="Arial" w:hAnsi="Arial" w:cs="Arial"/>
          <w:sz w:val="20"/>
          <w:szCs w:val="20"/>
        </w:rPr>
        <w:t xml:space="preserve">sets out </w:t>
      </w:r>
      <w:r w:rsidR="00046593" w:rsidRPr="00041066">
        <w:rPr>
          <w:rFonts w:ascii="Arial" w:hAnsi="Arial" w:cs="Arial"/>
          <w:sz w:val="20"/>
          <w:szCs w:val="20"/>
        </w:rPr>
        <w:t>the HKEX’s requirement</w:t>
      </w:r>
      <w:r w:rsidR="009F3C4E">
        <w:rPr>
          <w:rFonts w:ascii="Arial" w:hAnsi="Arial" w:cs="Arial"/>
          <w:sz w:val="20"/>
          <w:szCs w:val="20"/>
        </w:rPr>
        <w:t>s</w:t>
      </w:r>
      <w:r w:rsidR="00046593" w:rsidRPr="00041066">
        <w:rPr>
          <w:rFonts w:ascii="Arial" w:hAnsi="Arial" w:cs="Arial"/>
          <w:sz w:val="20"/>
          <w:szCs w:val="20"/>
        </w:rPr>
        <w:t xml:space="preserve"> for </w:t>
      </w:r>
      <w:r w:rsidR="00A57250">
        <w:rPr>
          <w:rFonts w:ascii="Arial" w:hAnsi="Arial" w:cs="Arial"/>
          <w:sz w:val="20"/>
          <w:szCs w:val="20"/>
        </w:rPr>
        <w:t xml:space="preserve">the </w:t>
      </w:r>
      <w:r w:rsidR="00046593" w:rsidRPr="00041066">
        <w:rPr>
          <w:rFonts w:ascii="Arial" w:hAnsi="Arial" w:cs="Arial"/>
          <w:sz w:val="20"/>
          <w:szCs w:val="20"/>
        </w:rPr>
        <w:t xml:space="preserve">presentation of information </w:t>
      </w:r>
      <w:r w:rsidR="009F3C4E">
        <w:rPr>
          <w:rFonts w:ascii="Arial" w:hAnsi="Arial" w:cs="Arial"/>
          <w:sz w:val="20"/>
          <w:szCs w:val="20"/>
        </w:rPr>
        <w:t>in issuer</w:t>
      </w:r>
      <w:r w:rsidR="00EA20F4" w:rsidRPr="00041066">
        <w:rPr>
          <w:rFonts w:ascii="Arial" w:hAnsi="Arial" w:cs="Arial"/>
          <w:sz w:val="20"/>
          <w:szCs w:val="20"/>
        </w:rPr>
        <w:t>s</w:t>
      </w:r>
      <w:r w:rsidR="009F3C4E">
        <w:rPr>
          <w:rFonts w:ascii="Arial" w:hAnsi="Arial" w:cs="Arial"/>
          <w:sz w:val="20"/>
          <w:szCs w:val="20"/>
        </w:rPr>
        <w:t>’</w:t>
      </w:r>
      <w:r w:rsidR="00EA20F4" w:rsidRPr="00041066">
        <w:rPr>
          <w:rFonts w:ascii="Arial" w:hAnsi="Arial" w:cs="Arial"/>
          <w:sz w:val="20"/>
          <w:szCs w:val="20"/>
        </w:rPr>
        <w:t xml:space="preserve"> </w:t>
      </w:r>
      <w:r w:rsidR="00046593" w:rsidRPr="00041066">
        <w:rPr>
          <w:rFonts w:ascii="Arial" w:hAnsi="Arial" w:cs="Arial"/>
          <w:sz w:val="20"/>
          <w:szCs w:val="20"/>
        </w:rPr>
        <w:t>announcement</w:t>
      </w:r>
      <w:r w:rsidR="009F3C4E">
        <w:rPr>
          <w:rFonts w:ascii="Arial" w:hAnsi="Arial" w:cs="Arial"/>
          <w:sz w:val="20"/>
          <w:szCs w:val="20"/>
        </w:rPr>
        <w:t>s and</w:t>
      </w:r>
      <w:r w:rsidR="00046593" w:rsidRPr="00041066">
        <w:rPr>
          <w:rFonts w:ascii="Arial" w:hAnsi="Arial" w:cs="Arial"/>
          <w:sz w:val="20"/>
          <w:szCs w:val="20"/>
        </w:rPr>
        <w:t xml:space="preserve"> corporate communication</w:t>
      </w:r>
      <w:r w:rsidR="009F3C4E">
        <w:rPr>
          <w:rFonts w:ascii="Arial" w:hAnsi="Arial" w:cs="Arial"/>
          <w:sz w:val="20"/>
          <w:szCs w:val="20"/>
        </w:rPr>
        <w:t>s</w:t>
      </w:r>
      <w:r w:rsidR="00E42E97" w:rsidRPr="00041066">
        <w:rPr>
          <w:rFonts w:ascii="Arial" w:hAnsi="Arial" w:cs="Arial"/>
          <w:sz w:val="20"/>
          <w:szCs w:val="20"/>
        </w:rPr>
        <w:t xml:space="preserve">. Information must be </w:t>
      </w:r>
      <w:r w:rsidR="005266D0" w:rsidRPr="00041066">
        <w:rPr>
          <w:rFonts w:ascii="Arial" w:hAnsi="Arial" w:cs="Arial"/>
          <w:sz w:val="20"/>
          <w:szCs w:val="20"/>
        </w:rPr>
        <w:t xml:space="preserve">presented </w:t>
      </w:r>
      <w:r w:rsidR="005A4178" w:rsidRPr="00041066">
        <w:rPr>
          <w:rFonts w:ascii="Arial" w:hAnsi="Arial" w:cs="Arial"/>
          <w:sz w:val="20"/>
          <w:szCs w:val="20"/>
        </w:rPr>
        <w:t xml:space="preserve">clearly </w:t>
      </w:r>
      <w:r w:rsidR="005A4178">
        <w:rPr>
          <w:rFonts w:ascii="Arial" w:hAnsi="Arial" w:cs="Arial"/>
          <w:sz w:val="20"/>
          <w:szCs w:val="20"/>
        </w:rPr>
        <w:t>and in plain language and must be</w:t>
      </w:r>
      <w:r w:rsidR="009F3C4E">
        <w:rPr>
          <w:rFonts w:ascii="Arial" w:hAnsi="Arial" w:cs="Arial"/>
          <w:sz w:val="20"/>
          <w:szCs w:val="20"/>
        </w:rPr>
        <w:t xml:space="preserve"> accurate and</w:t>
      </w:r>
      <w:r w:rsidR="00E42E97" w:rsidRPr="00041066">
        <w:rPr>
          <w:rFonts w:ascii="Arial" w:hAnsi="Arial" w:cs="Arial"/>
          <w:sz w:val="20"/>
          <w:szCs w:val="20"/>
        </w:rPr>
        <w:t xml:space="preserve"> complete in all material respects, and not misleading or deceptive. </w:t>
      </w:r>
    </w:p>
    <w:p w14:paraId="43993053" w14:textId="77777777" w:rsidR="00046593" w:rsidRDefault="001E5309" w:rsidP="00DA5E70">
      <w:pPr>
        <w:jc w:val="both"/>
        <w:rPr>
          <w:rFonts w:ascii="Arial" w:hAnsi="Arial" w:cs="Arial"/>
          <w:sz w:val="20"/>
          <w:szCs w:val="20"/>
        </w:rPr>
      </w:pPr>
      <w:r w:rsidRPr="00041066">
        <w:rPr>
          <w:rFonts w:ascii="Arial" w:hAnsi="Arial" w:cs="Arial"/>
          <w:sz w:val="20"/>
          <w:szCs w:val="20"/>
        </w:rPr>
        <w:t>The HKEX warn</w:t>
      </w:r>
      <w:r w:rsidR="009F3C4E">
        <w:rPr>
          <w:rFonts w:ascii="Arial" w:hAnsi="Arial" w:cs="Arial"/>
          <w:sz w:val="20"/>
          <w:szCs w:val="20"/>
        </w:rPr>
        <w:t>s that non-compliance with the</w:t>
      </w:r>
      <w:r w:rsidRPr="00041066">
        <w:rPr>
          <w:rFonts w:ascii="Arial" w:hAnsi="Arial" w:cs="Arial"/>
          <w:sz w:val="20"/>
          <w:szCs w:val="20"/>
        </w:rPr>
        <w:t xml:space="preserve"> disclosure requirements may result in regulatory action against listed issuers and their directors, as demonstrated by recent cases involving </w:t>
      </w:r>
      <w:hyperlink r:id="rId9" w:history="1">
        <w:r w:rsidRPr="00041066">
          <w:rPr>
            <w:rStyle w:val="a3"/>
            <w:rFonts w:ascii="Arial" w:hAnsi="Arial" w:cs="Arial"/>
            <w:sz w:val="20"/>
            <w:szCs w:val="20"/>
          </w:rPr>
          <w:t>Enterprise Development Holdings Limited</w:t>
        </w:r>
      </w:hyperlink>
      <w:r w:rsidRPr="00041066">
        <w:rPr>
          <w:rFonts w:ascii="Arial" w:hAnsi="Arial" w:cs="Arial"/>
          <w:sz w:val="20"/>
          <w:szCs w:val="20"/>
        </w:rPr>
        <w:t xml:space="preserve"> and certain directors of </w:t>
      </w:r>
      <w:hyperlink r:id="rId10" w:history="1">
        <w:proofErr w:type="spellStart"/>
        <w:r w:rsidRPr="00041066">
          <w:rPr>
            <w:rStyle w:val="a3"/>
            <w:rFonts w:ascii="Arial" w:hAnsi="Arial" w:cs="Arial"/>
            <w:sz w:val="20"/>
            <w:szCs w:val="20"/>
          </w:rPr>
          <w:t>Inno</w:t>
        </w:r>
        <w:proofErr w:type="spellEnd"/>
        <w:r w:rsidRPr="00041066">
          <w:rPr>
            <w:rStyle w:val="a3"/>
            <w:rFonts w:ascii="Arial" w:hAnsi="Arial" w:cs="Arial"/>
            <w:sz w:val="20"/>
            <w:szCs w:val="20"/>
          </w:rPr>
          <w:t>-Tech Holdings Limited</w:t>
        </w:r>
      </w:hyperlink>
      <w:r w:rsidRPr="00041066">
        <w:rPr>
          <w:rFonts w:ascii="Arial" w:hAnsi="Arial" w:cs="Arial"/>
          <w:sz w:val="20"/>
          <w:szCs w:val="20"/>
        </w:rPr>
        <w:t xml:space="preserve">. </w:t>
      </w:r>
    </w:p>
    <w:p w14:paraId="66DFC561" w14:textId="77777777" w:rsidR="006B2F1A" w:rsidRPr="004A14E7" w:rsidRDefault="006B2F1A" w:rsidP="00DA5E70">
      <w:pPr>
        <w:jc w:val="both"/>
        <w:rPr>
          <w:rFonts w:ascii="Arial" w:hAnsi="Arial" w:cs="Arial"/>
          <w:b/>
          <w:sz w:val="20"/>
          <w:szCs w:val="20"/>
        </w:rPr>
      </w:pPr>
      <w:r w:rsidRPr="004A14E7">
        <w:rPr>
          <w:rFonts w:ascii="Arial" w:hAnsi="Arial" w:cs="Arial"/>
          <w:b/>
          <w:sz w:val="20"/>
          <w:szCs w:val="20"/>
        </w:rPr>
        <w:t>HKEX Disciplinary Action against Enterprise Development Holdings Limited (Enterprise Development)</w:t>
      </w:r>
    </w:p>
    <w:p w14:paraId="31A4034A" w14:textId="77777777" w:rsidR="00991BD0" w:rsidRDefault="006B2F1A" w:rsidP="00DA5E70">
      <w:pPr>
        <w:jc w:val="both"/>
        <w:rPr>
          <w:rFonts w:ascii="Arial" w:hAnsi="Arial" w:cs="Arial"/>
          <w:sz w:val="20"/>
          <w:szCs w:val="20"/>
        </w:rPr>
      </w:pPr>
      <w:r>
        <w:rPr>
          <w:rFonts w:ascii="Arial" w:hAnsi="Arial" w:cs="Arial"/>
          <w:sz w:val="20"/>
          <w:szCs w:val="20"/>
        </w:rPr>
        <w:t xml:space="preserve">The HKEX censured Enterprise Development and censured and issued a prejudice to investors’ interests statement against a former executive director of the company, </w:t>
      </w:r>
      <w:proofErr w:type="spellStart"/>
      <w:r>
        <w:rPr>
          <w:rFonts w:ascii="Arial" w:hAnsi="Arial" w:cs="Arial"/>
          <w:sz w:val="20"/>
          <w:szCs w:val="20"/>
        </w:rPr>
        <w:t>Ms</w:t>
      </w:r>
      <w:proofErr w:type="spellEnd"/>
      <w:r>
        <w:rPr>
          <w:rFonts w:ascii="Arial" w:hAnsi="Arial" w:cs="Arial"/>
          <w:sz w:val="20"/>
          <w:szCs w:val="20"/>
        </w:rPr>
        <w:t xml:space="preserve"> Mao Jun </w:t>
      </w:r>
      <w:proofErr w:type="spellStart"/>
      <w:r>
        <w:rPr>
          <w:rFonts w:ascii="Arial" w:hAnsi="Arial" w:cs="Arial"/>
          <w:sz w:val="20"/>
          <w:szCs w:val="20"/>
        </w:rPr>
        <w:t>Jie</w:t>
      </w:r>
      <w:proofErr w:type="spellEnd"/>
      <w:r>
        <w:rPr>
          <w:rFonts w:ascii="Arial" w:hAnsi="Arial" w:cs="Arial"/>
          <w:sz w:val="20"/>
          <w:szCs w:val="20"/>
        </w:rPr>
        <w:t xml:space="preserve"> (</w:t>
      </w:r>
      <w:proofErr w:type="spellStart"/>
      <w:r w:rsidRPr="006B2F1A">
        <w:rPr>
          <w:rFonts w:ascii="Arial" w:hAnsi="Arial" w:cs="Arial"/>
          <w:b/>
          <w:sz w:val="20"/>
          <w:szCs w:val="20"/>
        </w:rPr>
        <w:t>Ms</w:t>
      </w:r>
      <w:proofErr w:type="spellEnd"/>
      <w:r w:rsidRPr="006B2F1A">
        <w:rPr>
          <w:rFonts w:ascii="Arial" w:hAnsi="Arial" w:cs="Arial"/>
          <w:b/>
          <w:sz w:val="20"/>
          <w:szCs w:val="20"/>
        </w:rPr>
        <w:t xml:space="preserve"> Mao</w:t>
      </w:r>
      <w:r>
        <w:rPr>
          <w:rFonts w:ascii="Arial" w:hAnsi="Arial" w:cs="Arial"/>
          <w:sz w:val="20"/>
          <w:szCs w:val="20"/>
        </w:rPr>
        <w:t>). Enterprise Development was found to have breached HKEX Listing Rule 2.13(2) by</w:t>
      </w:r>
      <w:r w:rsidR="005571E9">
        <w:rPr>
          <w:rFonts w:ascii="Arial" w:hAnsi="Arial" w:cs="Arial"/>
          <w:sz w:val="20"/>
          <w:szCs w:val="20"/>
        </w:rPr>
        <w:t xml:space="preserve"> publishing</w:t>
      </w:r>
      <w:r w:rsidR="00991BD0">
        <w:rPr>
          <w:rFonts w:ascii="Arial" w:hAnsi="Arial" w:cs="Arial"/>
          <w:sz w:val="20"/>
          <w:szCs w:val="20"/>
        </w:rPr>
        <w:t xml:space="preserve"> inaccurate</w:t>
      </w:r>
      <w:r w:rsidR="005571E9">
        <w:rPr>
          <w:rFonts w:ascii="Arial" w:hAnsi="Arial" w:cs="Arial"/>
          <w:sz w:val="20"/>
          <w:szCs w:val="20"/>
        </w:rPr>
        <w:t xml:space="preserve"> </w:t>
      </w:r>
      <w:r w:rsidR="00991BD0">
        <w:rPr>
          <w:rFonts w:ascii="Arial" w:hAnsi="Arial" w:cs="Arial"/>
          <w:sz w:val="20"/>
          <w:szCs w:val="20"/>
        </w:rPr>
        <w:t xml:space="preserve">biographical information about </w:t>
      </w:r>
      <w:proofErr w:type="spellStart"/>
      <w:r w:rsidR="00991BD0">
        <w:rPr>
          <w:rFonts w:ascii="Arial" w:hAnsi="Arial" w:cs="Arial"/>
          <w:sz w:val="20"/>
          <w:szCs w:val="20"/>
        </w:rPr>
        <w:t>Ms</w:t>
      </w:r>
      <w:proofErr w:type="spellEnd"/>
      <w:r w:rsidR="00991BD0">
        <w:rPr>
          <w:rFonts w:ascii="Arial" w:hAnsi="Arial" w:cs="Arial"/>
          <w:sz w:val="20"/>
          <w:szCs w:val="20"/>
        </w:rPr>
        <w:t xml:space="preserve"> Mao in its announcement of her appointment as a director and in its notice of the company’s AGM. The inaccurate information was given to Enterprise Development by </w:t>
      </w:r>
      <w:proofErr w:type="spellStart"/>
      <w:r w:rsidR="00991BD0">
        <w:rPr>
          <w:rFonts w:ascii="Arial" w:hAnsi="Arial" w:cs="Arial"/>
          <w:sz w:val="20"/>
          <w:szCs w:val="20"/>
        </w:rPr>
        <w:t>Ms</w:t>
      </w:r>
      <w:proofErr w:type="spellEnd"/>
      <w:r w:rsidR="00991BD0">
        <w:rPr>
          <w:rFonts w:ascii="Arial" w:hAnsi="Arial" w:cs="Arial"/>
          <w:sz w:val="20"/>
          <w:szCs w:val="20"/>
        </w:rPr>
        <w:t xml:space="preserve"> Mao, but the company failed to conduct due diligence on the information.  </w:t>
      </w:r>
    </w:p>
    <w:p w14:paraId="7C1EFAAE" w14:textId="77777777" w:rsidR="00991BD0" w:rsidRPr="004A14E7" w:rsidRDefault="002066BE" w:rsidP="00DA5E70">
      <w:pPr>
        <w:jc w:val="both"/>
        <w:rPr>
          <w:rFonts w:ascii="Arial" w:hAnsi="Arial" w:cs="Arial"/>
          <w:b/>
          <w:sz w:val="20"/>
          <w:szCs w:val="20"/>
        </w:rPr>
      </w:pPr>
      <w:r w:rsidRPr="004A14E7">
        <w:rPr>
          <w:rFonts w:ascii="Arial" w:hAnsi="Arial" w:cs="Arial"/>
          <w:b/>
          <w:sz w:val="20"/>
          <w:szCs w:val="20"/>
        </w:rPr>
        <w:t xml:space="preserve">HKEX Disciplinary Action against Three Directors of </w:t>
      </w:r>
      <w:proofErr w:type="spellStart"/>
      <w:r w:rsidRPr="004A14E7">
        <w:rPr>
          <w:rFonts w:ascii="Arial" w:hAnsi="Arial" w:cs="Arial"/>
          <w:b/>
          <w:sz w:val="20"/>
          <w:szCs w:val="20"/>
        </w:rPr>
        <w:t>Inno</w:t>
      </w:r>
      <w:proofErr w:type="spellEnd"/>
      <w:r w:rsidRPr="004A14E7">
        <w:rPr>
          <w:rFonts w:ascii="Arial" w:hAnsi="Arial" w:cs="Arial"/>
          <w:b/>
          <w:sz w:val="20"/>
          <w:szCs w:val="20"/>
        </w:rPr>
        <w:t>-Tech Holdings Limited (</w:t>
      </w:r>
      <w:proofErr w:type="spellStart"/>
      <w:r w:rsidRPr="004A14E7">
        <w:rPr>
          <w:rFonts w:ascii="Arial" w:hAnsi="Arial" w:cs="Arial"/>
          <w:b/>
          <w:sz w:val="20"/>
          <w:szCs w:val="20"/>
        </w:rPr>
        <w:t>Innotech</w:t>
      </w:r>
      <w:proofErr w:type="spellEnd"/>
      <w:r w:rsidRPr="004A14E7">
        <w:rPr>
          <w:rFonts w:ascii="Arial" w:hAnsi="Arial" w:cs="Arial"/>
          <w:b/>
          <w:sz w:val="20"/>
          <w:szCs w:val="20"/>
        </w:rPr>
        <w:t xml:space="preserve">) (delisted) </w:t>
      </w:r>
    </w:p>
    <w:p w14:paraId="4B83EC62" w14:textId="77777777" w:rsidR="002066BE" w:rsidRPr="002066BE" w:rsidRDefault="002066BE" w:rsidP="00DA5E70">
      <w:pPr>
        <w:jc w:val="both"/>
        <w:rPr>
          <w:rFonts w:ascii="Arial" w:hAnsi="Arial" w:cs="Arial"/>
          <w:sz w:val="20"/>
          <w:szCs w:val="20"/>
        </w:rPr>
      </w:pPr>
      <w:r>
        <w:rPr>
          <w:rFonts w:ascii="Arial" w:hAnsi="Arial" w:cs="Arial"/>
          <w:sz w:val="20"/>
          <w:szCs w:val="20"/>
        </w:rPr>
        <w:t xml:space="preserve">The HKEX censured and imposed prejudice to investors’ interests statements against three directors of </w:t>
      </w:r>
      <w:proofErr w:type="spellStart"/>
      <w:r>
        <w:rPr>
          <w:rFonts w:ascii="Arial" w:hAnsi="Arial" w:cs="Arial"/>
          <w:sz w:val="20"/>
          <w:szCs w:val="20"/>
        </w:rPr>
        <w:t>Innotech</w:t>
      </w:r>
      <w:proofErr w:type="spellEnd"/>
      <w:r>
        <w:rPr>
          <w:rFonts w:ascii="Arial" w:hAnsi="Arial" w:cs="Arial"/>
          <w:sz w:val="20"/>
          <w:szCs w:val="20"/>
        </w:rPr>
        <w:t xml:space="preserve">. The case involved (among others) an announcement by </w:t>
      </w:r>
      <w:proofErr w:type="spellStart"/>
      <w:r>
        <w:rPr>
          <w:rFonts w:ascii="Arial" w:hAnsi="Arial" w:cs="Arial"/>
          <w:sz w:val="20"/>
          <w:szCs w:val="20"/>
        </w:rPr>
        <w:t>Innotech</w:t>
      </w:r>
      <w:proofErr w:type="spellEnd"/>
      <w:r>
        <w:rPr>
          <w:rFonts w:ascii="Arial" w:hAnsi="Arial" w:cs="Arial"/>
          <w:sz w:val="20"/>
          <w:szCs w:val="20"/>
        </w:rPr>
        <w:t xml:space="preserve"> of its appointment of a new auditor to replace its former auditor (</w:t>
      </w:r>
      <w:r w:rsidRPr="002066BE">
        <w:rPr>
          <w:rFonts w:ascii="Arial" w:hAnsi="Arial" w:cs="Arial"/>
          <w:b/>
          <w:sz w:val="20"/>
          <w:szCs w:val="20"/>
        </w:rPr>
        <w:t>Elite</w:t>
      </w:r>
      <w:r>
        <w:rPr>
          <w:rFonts w:ascii="Arial" w:hAnsi="Arial" w:cs="Arial"/>
          <w:sz w:val="20"/>
          <w:szCs w:val="20"/>
        </w:rPr>
        <w:t>)</w:t>
      </w:r>
      <w:r w:rsidR="00672E3A">
        <w:rPr>
          <w:rFonts w:ascii="Arial" w:hAnsi="Arial" w:cs="Arial"/>
          <w:sz w:val="20"/>
          <w:szCs w:val="20"/>
        </w:rPr>
        <w:t xml:space="preserve">. The announcement </w:t>
      </w:r>
      <w:r>
        <w:rPr>
          <w:rFonts w:ascii="Arial" w:hAnsi="Arial" w:cs="Arial"/>
          <w:sz w:val="20"/>
          <w:szCs w:val="20"/>
        </w:rPr>
        <w:t>was inaccurate and mislea</w:t>
      </w:r>
      <w:r w:rsidR="00672E3A">
        <w:rPr>
          <w:rFonts w:ascii="Arial" w:hAnsi="Arial" w:cs="Arial"/>
          <w:sz w:val="20"/>
          <w:szCs w:val="20"/>
        </w:rPr>
        <w:t xml:space="preserve">ding because it included a statement that Elite had confirmed that there were no matters or circumstances in respect of the change of auditor that needed to be brought to the attention of the company’s shareholders, when no such confirmation had been given by Elite. </w:t>
      </w:r>
    </w:p>
    <w:p w14:paraId="1F103928" w14:textId="77777777" w:rsidR="00BC24B6" w:rsidRPr="004A14E7" w:rsidRDefault="00CA75DD" w:rsidP="00DA5E70">
      <w:pPr>
        <w:jc w:val="both"/>
        <w:rPr>
          <w:rFonts w:ascii="Arial" w:hAnsi="Arial" w:cs="Arial"/>
          <w:b/>
          <w:color w:val="FF0000"/>
          <w:sz w:val="20"/>
          <w:szCs w:val="20"/>
        </w:rPr>
      </w:pPr>
      <w:r w:rsidRPr="004A14E7">
        <w:rPr>
          <w:rFonts w:ascii="Arial" w:hAnsi="Arial" w:cs="Arial"/>
          <w:b/>
          <w:color w:val="FF0000"/>
          <w:sz w:val="20"/>
          <w:szCs w:val="20"/>
        </w:rPr>
        <w:t>Disclosure Misconduct by Newly-l</w:t>
      </w:r>
      <w:r w:rsidR="001E5309" w:rsidRPr="004A14E7">
        <w:rPr>
          <w:rFonts w:ascii="Arial" w:hAnsi="Arial" w:cs="Arial"/>
          <w:b/>
          <w:color w:val="FF0000"/>
          <w:sz w:val="20"/>
          <w:szCs w:val="20"/>
        </w:rPr>
        <w:t xml:space="preserve">isted Issuers </w:t>
      </w:r>
    </w:p>
    <w:p w14:paraId="4C6D66EE" w14:textId="77777777" w:rsidR="00426B35" w:rsidRPr="00041066" w:rsidRDefault="00BC24B6" w:rsidP="00DA5E70">
      <w:pPr>
        <w:jc w:val="both"/>
        <w:rPr>
          <w:rFonts w:ascii="Arial" w:hAnsi="Arial" w:cs="Arial"/>
          <w:sz w:val="20"/>
          <w:szCs w:val="20"/>
        </w:rPr>
      </w:pPr>
      <w:r w:rsidRPr="00041066">
        <w:rPr>
          <w:rFonts w:ascii="Arial" w:hAnsi="Arial" w:cs="Arial"/>
          <w:sz w:val="20"/>
          <w:szCs w:val="20"/>
        </w:rPr>
        <w:t xml:space="preserve">The HKEX has </w:t>
      </w:r>
      <w:r w:rsidR="001E5309" w:rsidRPr="00041066">
        <w:rPr>
          <w:rFonts w:ascii="Arial" w:hAnsi="Arial" w:cs="Arial"/>
          <w:sz w:val="20"/>
          <w:szCs w:val="20"/>
        </w:rPr>
        <w:t>conducted</w:t>
      </w:r>
      <w:r w:rsidRPr="00041066">
        <w:rPr>
          <w:rFonts w:ascii="Arial" w:hAnsi="Arial" w:cs="Arial"/>
          <w:sz w:val="20"/>
          <w:szCs w:val="20"/>
        </w:rPr>
        <w:t xml:space="preserve"> several investigations into newly-listed issuers’ disclosures, covering their prospectus</w:t>
      </w:r>
      <w:r w:rsidR="009F3C4E">
        <w:rPr>
          <w:rFonts w:ascii="Arial" w:hAnsi="Arial" w:cs="Arial"/>
          <w:sz w:val="20"/>
          <w:szCs w:val="20"/>
        </w:rPr>
        <w:t>es</w:t>
      </w:r>
      <w:r w:rsidRPr="00041066">
        <w:rPr>
          <w:rFonts w:ascii="Arial" w:hAnsi="Arial" w:cs="Arial"/>
          <w:sz w:val="20"/>
          <w:szCs w:val="20"/>
        </w:rPr>
        <w:t xml:space="preserve">, listing application documents, and activities before and shortly after listing. </w:t>
      </w:r>
      <w:r w:rsidR="00672E3A">
        <w:rPr>
          <w:rFonts w:ascii="Arial" w:hAnsi="Arial" w:cs="Arial"/>
          <w:sz w:val="20"/>
          <w:szCs w:val="20"/>
        </w:rPr>
        <w:t>The Enforcement Bulletin</w:t>
      </w:r>
      <w:r w:rsidR="009F3C4E">
        <w:rPr>
          <w:rFonts w:ascii="Arial" w:hAnsi="Arial" w:cs="Arial"/>
          <w:sz w:val="20"/>
          <w:szCs w:val="20"/>
        </w:rPr>
        <w:t xml:space="preserve"> highlights particular </w:t>
      </w:r>
      <w:r w:rsidRPr="00041066">
        <w:rPr>
          <w:rFonts w:ascii="Arial" w:hAnsi="Arial" w:cs="Arial"/>
          <w:sz w:val="20"/>
          <w:szCs w:val="20"/>
        </w:rPr>
        <w:t xml:space="preserve">concerns </w:t>
      </w:r>
      <w:r w:rsidR="00CA75DD">
        <w:rPr>
          <w:rFonts w:ascii="Arial" w:hAnsi="Arial" w:cs="Arial"/>
          <w:sz w:val="20"/>
          <w:szCs w:val="20"/>
        </w:rPr>
        <w:t xml:space="preserve">relating to </w:t>
      </w:r>
      <w:r w:rsidRPr="00041066">
        <w:rPr>
          <w:rFonts w:ascii="Arial" w:hAnsi="Arial" w:cs="Arial"/>
          <w:sz w:val="20"/>
          <w:szCs w:val="20"/>
        </w:rPr>
        <w:t>significant changes in the use of IPO proc</w:t>
      </w:r>
      <w:r w:rsidR="00CA75DD">
        <w:rPr>
          <w:rFonts w:ascii="Arial" w:hAnsi="Arial" w:cs="Arial"/>
          <w:sz w:val="20"/>
          <w:szCs w:val="20"/>
        </w:rPr>
        <w:t>eeds and</w:t>
      </w:r>
      <w:r w:rsidR="00ED7CCB" w:rsidRPr="00041066">
        <w:rPr>
          <w:rFonts w:ascii="Arial" w:hAnsi="Arial" w:cs="Arial"/>
          <w:sz w:val="20"/>
          <w:szCs w:val="20"/>
        </w:rPr>
        <w:t xml:space="preserve"> </w:t>
      </w:r>
      <w:r w:rsidR="00ED7CCB" w:rsidRPr="00041066">
        <w:rPr>
          <w:rFonts w:ascii="Arial" w:hAnsi="Arial" w:cs="Arial"/>
          <w:sz w:val="20"/>
          <w:szCs w:val="20"/>
        </w:rPr>
        <w:lastRenderedPageBreak/>
        <w:t>outflows of money that were</w:t>
      </w:r>
      <w:r w:rsidRPr="00041066">
        <w:rPr>
          <w:rFonts w:ascii="Arial" w:hAnsi="Arial" w:cs="Arial"/>
          <w:sz w:val="20"/>
          <w:szCs w:val="20"/>
        </w:rPr>
        <w:t xml:space="preserve"> not properly disclosed, and which could </w:t>
      </w:r>
      <w:r w:rsidR="00426B35" w:rsidRPr="00041066">
        <w:rPr>
          <w:rFonts w:ascii="Arial" w:hAnsi="Arial" w:cs="Arial"/>
          <w:sz w:val="20"/>
          <w:szCs w:val="20"/>
        </w:rPr>
        <w:t>have been</w:t>
      </w:r>
      <w:r w:rsidRPr="00041066">
        <w:rPr>
          <w:rFonts w:ascii="Arial" w:hAnsi="Arial" w:cs="Arial"/>
          <w:sz w:val="20"/>
          <w:szCs w:val="20"/>
        </w:rPr>
        <w:t xml:space="preserve"> material to the investing public. </w:t>
      </w:r>
    </w:p>
    <w:p w14:paraId="1C12A988" w14:textId="5DA5153F" w:rsidR="00053CB5" w:rsidRPr="00041066" w:rsidRDefault="007C1E63" w:rsidP="00DA5E70">
      <w:pPr>
        <w:jc w:val="both"/>
        <w:rPr>
          <w:rFonts w:ascii="Arial" w:hAnsi="Arial" w:cs="Arial"/>
          <w:sz w:val="20"/>
          <w:szCs w:val="20"/>
        </w:rPr>
      </w:pPr>
      <w:r w:rsidRPr="00041066">
        <w:rPr>
          <w:rFonts w:ascii="Arial" w:hAnsi="Arial" w:cs="Arial"/>
          <w:sz w:val="20"/>
          <w:szCs w:val="20"/>
        </w:rPr>
        <w:t xml:space="preserve">The </w:t>
      </w:r>
      <w:r w:rsidR="00474F5B">
        <w:rPr>
          <w:rFonts w:ascii="Arial" w:hAnsi="Arial" w:cs="Arial"/>
          <w:sz w:val="20"/>
          <w:szCs w:val="20"/>
        </w:rPr>
        <w:t xml:space="preserve">HKEX’s latest Enforcement Bulletin makes reference to </w:t>
      </w:r>
      <w:r w:rsidR="00474F5B" w:rsidRPr="00041066">
        <w:rPr>
          <w:rFonts w:ascii="Arial" w:hAnsi="Arial" w:cs="Arial"/>
          <w:sz w:val="20"/>
          <w:szCs w:val="20"/>
        </w:rPr>
        <w:t xml:space="preserve">the SFC and HKEX’s </w:t>
      </w:r>
      <w:hyperlink r:id="rId11" w:history="1">
        <w:r w:rsidR="00474F5B" w:rsidRPr="00041066">
          <w:rPr>
            <w:rStyle w:val="a3"/>
            <w:rFonts w:ascii="Arial" w:hAnsi="Arial" w:cs="Arial"/>
            <w:sz w:val="20"/>
            <w:szCs w:val="20"/>
          </w:rPr>
          <w:t>joint statement on IPO-related misconduct</w:t>
        </w:r>
      </w:hyperlink>
      <w:r w:rsidR="00474F5B" w:rsidRPr="00041066">
        <w:rPr>
          <w:rFonts w:ascii="Arial" w:hAnsi="Arial" w:cs="Arial"/>
          <w:sz w:val="20"/>
          <w:szCs w:val="20"/>
        </w:rPr>
        <w:t xml:space="preserve"> published in May 2021</w:t>
      </w:r>
      <w:r w:rsidR="00474F5B">
        <w:rPr>
          <w:rFonts w:ascii="Arial" w:hAnsi="Arial" w:cs="Arial"/>
          <w:sz w:val="20"/>
          <w:szCs w:val="20"/>
        </w:rPr>
        <w:t xml:space="preserve"> which raised concerns regarding </w:t>
      </w:r>
      <w:r w:rsidRPr="00041066">
        <w:rPr>
          <w:rFonts w:ascii="Arial" w:hAnsi="Arial" w:cs="Arial"/>
          <w:sz w:val="20"/>
          <w:szCs w:val="20"/>
        </w:rPr>
        <w:t>unusually high underwriting commissions or other listing expenses, and material amounts of discretionary listing expenses</w:t>
      </w:r>
      <w:r w:rsidR="00474F5B">
        <w:rPr>
          <w:rFonts w:ascii="Arial" w:hAnsi="Arial" w:cs="Arial"/>
          <w:sz w:val="20"/>
          <w:szCs w:val="20"/>
        </w:rPr>
        <w:t>,</w:t>
      </w:r>
      <w:r w:rsidRPr="00041066">
        <w:rPr>
          <w:rFonts w:ascii="Arial" w:hAnsi="Arial" w:cs="Arial"/>
          <w:sz w:val="20"/>
          <w:szCs w:val="20"/>
        </w:rPr>
        <w:t xml:space="preserve"> being paid </w:t>
      </w:r>
      <w:r w:rsidR="00474F5B">
        <w:rPr>
          <w:rFonts w:ascii="Arial" w:hAnsi="Arial" w:cs="Arial"/>
          <w:sz w:val="20"/>
          <w:szCs w:val="20"/>
        </w:rPr>
        <w:t xml:space="preserve">to underwriters </w:t>
      </w:r>
      <w:r w:rsidRPr="00041066">
        <w:rPr>
          <w:rFonts w:ascii="Arial" w:hAnsi="Arial" w:cs="Arial"/>
          <w:sz w:val="20"/>
          <w:szCs w:val="20"/>
        </w:rPr>
        <w:t>by the listing applicant or its connected persons</w:t>
      </w:r>
      <w:r w:rsidR="00FB2DCB" w:rsidRPr="00041066">
        <w:rPr>
          <w:rFonts w:ascii="Arial" w:hAnsi="Arial" w:cs="Arial"/>
          <w:sz w:val="20"/>
          <w:szCs w:val="20"/>
        </w:rPr>
        <w:t xml:space="preserve">. </w:t>
      </w:r>
      <w:r w:rsidR="00474F5B">
        <w:rPr>
          <w:rFonts w:ascii="Arial" w:hAnsi="Arial" w:cs="Arial"/>
          <w:sz w:val="20"/>
          <w:szCs w:val="20"/>
        </w:rPr>
        <w:t>The regulators suspected that, in some cases, these were used to artificially satisfy the HKEX’s initial listing requirements (</w:t>
      </w:r>
      <w:proofErr w:type="gramStart"/>
      <w:r w:rsidR="00474F5B">
        <w:rPr>
          <w:rFonts w:ascii="Arial" w:hAnsi="Arial" w:cs="Arial"/>
          <w:sz w:val="20"/>
          <w:szCs w:val="20"/>
        </w:rPr>
        <w:t>e.g.</w:t>
      </w:r>
      <w:proofErr w:type="gramEnd"/>
      <w:r w:rsidR="00474F5B">
        <w:rPr>
          <w:rFonts w:ascii="Arial" w:hAnsi="Arial" w:cs="Arial"/>
          <w:sz w:val="20"/>
          <w:szCs w:val="20"/>
        </w:rPr>
        <w:t xml:space="preserve"> in relation to sufficient investor interest, minimum market capitalisation and adequate spread of shareholders). The </w:t>
      </w:r>
      <w:r w:rsidR="00A244D7">
        <w:rPr>
          <w:rFonts w:ascii="Arial" w:hAnsi="Arial" w:cs="Arial"/>
          <w:sz w:val="20"/>
          <w:szCs w:val="20"/>
        </w:rPr>
        <w:t>HKEX reminded</w:t>
      </w:r>
      <w:r w:rsidR="001E5309" w:rsidRPr="00041066">
        <w:rPr>
          <w:rFonts w:ascii="Arial" w:hAnsi="Arial" w:cs="Arial"/>
          <w:sz w:val="20"/>
          <w:szCs w:val="20"/>
        </w:rPr>
        <w:t xml:space="preserve"> issuers to disclose all relevant information, warning that regulatory action may be taken if there is evidence of false,</w:t>
      </w:r>
      <w:r w:rsidR="00A244D7">
        <w:rPr>
          <w:rFonts w:ascii="Arial" w:hAnsi="Arial" w:cs="Arial"/>
          <w:sz w:val="20"/>
          <w:szCs w:val="20"/>
        </w:rPr>
        <w:t xml:space="preserve"> incomplete</w:t>
      </w:r>
      <w:r w:rsidR="001E5309" w:rsidRPr="00041066">
        <w:rPr>
          <w:rFonts w:ascii="Arial" w:hAnsi="Arial" w:cs="Arial"/>
          <w:sz w:val="20"/>
          <w:szCs w:val="20"/>
        </w:rPr>
        <w:t xml:space="preserve"> or misleading information in the listing document.</w:t>
      </w:r>
      <w:r w:rsidR="00FB2DCB" w:rsidRPr="00041066">
        <w:rPr>
          <w:rFonts w:ascii="Arial" w:hAnsi="Arial" w:cs="Arial"/>
          <w:sz w:val="20"/>
          <w:szCs w:val="20"/>
        </w:rPr>
        <w:t xml:space="preserve"> </w:t>
      </w:r>
    </w:p>
    <w:p w14:paraId="12FE7D8E" w14:textId="77777777" w:rsidR="00053CB5" w:rsidRPr="00041066" w:rsidRDefault="00053CB5" w:rsidP="00DA5E70">
      <w:pPr>
        <w:jc w:val="both"/>
        <w:rPr>
          <w:rFonts w:ascii="Arial" w:hAnsi="Arial" w:cs="Arial"/>
          <w:sz w:val="20"/>
          <w:szCs w:val="20"/>
        </w:rPr>
      </w:pPr>
      <w:r w:rsidRPr="00041066">
        <w:rPr>
          <w:rFonts w:ascii="Arial" w:hAnsi="Arial" w:cs="Arial"/>
          <w:sz w:val="20"/>
          <w:szCs w:val="20"/>
        </w:rPr>
        <w:t xml:space="preserve">In addition, </w:t>
      </w:r>
      <w:hyperlink r:id="rId12" w:history="1">
        <w:r w:rsidRPr="00041066">
          <w:rPr>
            <w:rStyle w:val="a3"/>
            <w:rFonts w:ascii="Arial" w:hAnsi="Arial" w:cs="Arial"/>
            <w:sz w:val="20"/>
            <w:szCs w:val="20"/>
          </w:rPr>
          <w:t xml:space="preserve">the </w:t>
        </w:r>
        <w:r w:rsidR="00902FD7" w:rsidRPr="00041066">
          <w:rPr>
            <w:rStyle w:val="a3"/>
            <w:rFonts w:ascii="Arial" w:hAnsi="Arial" w:cs="Arial"/>
            <w:sz w:val="20"/>
            <w:szCs w:val="20"/>
          </w:rPr>
          <w:t>Review of Issuers’</w:t>
        </w:r>
        <w:r w:rsidRPr="00041066">
          <w:rPr>
            <w:rStyle w:val="a3"/>
            <w:rFonts w:ascii="Arial" w:hAnsi="Arial" w:cs="Arial"/>
            <w:sz w:val="20"/>
            <w:szCs w:val="20"/>
          </w:rPr>
          <w:t xml:space="preserve"> Annual Reports </w:t>
        </w:r>
        <w:r w:rsidR="00902FD7" w:rsidRPr="00041066">
          <w:rPr>
            <w:rStyle w:val="a3"/>
            <w:rFonts w:ascii="Arial" w:hAnsi="Arial" w:cs="Arial"/>
            <w:sz w:val="20"/>
            <w:szCs w:val="20"/>
          </w:rPr>
          <w:t>2022</w:t>
        </w:r>
      </w:hyperlink>
      <w:r w:rsidR="00902FD7" w:rsidRPr="00041066">
        <w:rPr>
          <w:rFonts w:ascii="Arial" w:hAnsi="Arial" w:cs="Arial"/>
          <w:sz w:val="20"/>
          <w:szCs w:val="20"/>
        </w:rPr>
        <w:t xml:space="preserve"> </w:t>
      </w:r>
      <w:r w:rsidRPr="00041066">
        <w:rPr>
          <w:rFonts w:ascii="Arial" w:hAnsi="Arial" w:cs="Arial"/>
          <w:sz w:val="20"/>
          <w:szCs w:val="20"/>
        </w:rPr>
        <w:t xml:space="preserve">published </w:t>
      </w:r>
      <w:r w:rsidR="00902FD7" w:rsidRPr="00041066">
        <w:rPr>
          <w:rFonts w:ascii="Arial" w:hAnsi="Arial" w:cs="Arial"/>
          <w:sz w:val="20"/>
          <w:szCs w:val="20"/>
        </w:rPr>
        <w:t xml:space="preserve">by the HKEX </w:t>
      </w:r>
      <w:r w:rsidRPr="00041066">
        <w:rPr>
          <w:rFonts w:ascii="Arial" w:hAnsi="Arial" w:cs="Arial"/>
          <w:sz w:val="20"/>
          <w:szCs w:val="20"/>
        </w:rPr>
        <w:t>in January 2023 raised further concerns about questionable investments of a material part of IPO proceeds</w:t>
      </w:r>
      <w:r w:rsidR="00037460" w:rsidRPr="00041066">
        <w:rPr>
          <w:rFonts w:ascii="Arial" w:hAnsi="Arial" w:cs="Arial"/>
          <w:sz w:val="20"/>
          <w:szCs w:val="20"/>
        </w:rPr>
        <w:t>,</w:t>
      </w:r>
      <w:r w:rsidRPr="00041066">
        <w:rPr>
          <w:rFonts w:ascii="Arial" w:hAnsi="Arial" w:cs="Arial"/>
          <w:sz w:val="20"/>
          <w:szCs w:val="20"/>
        </w:rPr>
        <w:t xml:space="preserve"> and</w:t>
      </w:r>
      <w:r w:rsidR="00037460" w:rsidRPr="00041066">
        <w:rPr>
          <w:rFonts w:ascii="Arial" w:hAnsi="Arial" w:cs="Arial"/>
          <w:sz w:val="20"/>
          <w:szCs w:val="20"/>
        </w:rPr>
        <w:t xml:space="preserve"> seemingly</w:t>
      </w:r>
      <w:r w:rsidRPr="00041066">
        <w:rPr>
          <w:rFonts w:ascii="Arial" w:hAnsi="Arial" w:cs="Arial"/>
          <w:sz w:val="20"/>
          <w:szCs w:val="20"/>
        </w:rPr>
        <w:t xml:space="preserve"> disproportionate paymen</w:t>
      </w:r>
      <w:r w:rsidR="00C766B7" w:rsidRPr="00041066">
        <w:rPr>
          <w:rFonts w:ascii="Arial" w:hAnsi="Arial" w:cs="Arial"/>
          <w:sz w:val="20"/>
          <w:szCs w:val="20"/>
        </w:rPr>
        <w:t xml:space="preserve">ts for consultancy arrangements, some of which </w:t>
      </w:r>
      <w:r w:rsidRPr="00041066">
        <w:rPr>
          <w:rFonts w:ascii="Arial" w:hAnsi="Arial" w:cs="Arial"/>
          <w:sz w:val="20"/>
          <w:szCs w:val="20"/>
        </w:rPr>
        <w:t>lacked commercial rationale and result</w:t>
      </w:r>
      <w:r w:rsidR="00A244D7">
        <w:rPr>
          <w:rFonts w:ascii="Arial" w:hAnsi="Arial" w:cs="Arial"/>
          <w:sz w:val="20"/>
          <w:szCs w:val="20"/>
        </w:rPr>
        <w:t>ed</w:t>
      </w:r>
      <w:r w:rsidRPr="00041066">
        <w:rPr>
          <w:rFonts w:ascii="Arial" w:hAnsi="Arial" w:cs="Arial"/>
          <w:sz w:val="20"/>
          <w:szCs w:val="20"/>
        </w:rPr>
        <w:t xml:space="preserve"> in substantial losses </w:t>
      </w:r>
      <w:r w:rsidR="00BF0455">
        <w:rPr>
          <w:rFonts w:ascii="Arial" w:hAnsi="Arial" w:cs="Arial"/>
          <w:sz w:val="20"/>
          <w:szCs w:val="20"/>
        </w:rPr>
        <w:t>to</w:t>
      </w:r>
      <w:r w:rsidRPr="00041066">
        <w:rPr>
          <w:rFonts w:ascii="Arial" w:hAnsi="Arial" w:cs="Arial"/>
          <w:sz w:val="20"/>
          <w:szCs w:val="20"/>
        </w:rPr>
        <w:t xml:space="preserve"> the issuers. </w:t>
      </w:r>
    </w:p>
    <w:p w14:paraId="48237E70" w14:textId="77777777" w:rsidR="00053CB5" w:rsidRDefault="0043388A" w:rsidP="00DA5E70">
      <w:pPr>
        <w:jc w:val="both"/>
        <w:rPr>
          <w:rFonts w:ascii="Arial" w:hAnsi="Arial" w:cs="Arial"/>
          <w:sz w:val="20"/>
          <w:szCs w:val="20"/>
        </w:rPr>
      </w:pPr>
      <w:r w:rsidRPr="00041066">
        <w:rPr>
          <w:rFonts w:ascii="Arial" w:hAnsi="Arial" w:cs="Arial"/>
          <w:sz w:val="20"/>
          <w:szCs w:val="20"/>
        </w:rPr>
        <w:t xml:space="preserve">The </w:t>
      </w:r>
      <w:r w:rsidR="00A244D7">
        <w:rPr>
          <w:rFonts w:ascii="Arial" w:hAnsi="Arial" w:cs="Arial"/>
          <w:sz w:val="20"/>
          <w:szCs w:val="20"/>
        </w:rPr>
        <w:t xml:space="preserve">HKEX’s latest Enforcement Bulletin </w:t>
      </w:r>
      <w:r w:rsidR="00305FD4" w:rsidRPr="00041066">
        <w:rPr>
          <w:rFonts w:ascii="Arial" w:hAnsi="Arial" w:cs="Arial"/>
          <w:sz w:val="20"/>
          <w:szCs w:val="20"/>
        </w:rPr>
        <w:t>cites</w:t>
      </w:r>
      <w:r w:rsidR="00053CB5" w:rsidRPr="00041066">
        <w:rPr>
          <w:rFonts w:ascii="Arial" w:hAnsi="Arial" w:cs="Arial"/>
          <w:sz w:val="20"/>
          <w:szCs w:val="20"/>
        </w:rPr>
        <w:t xml:space="preserve"> two recent cases </w:t>
      </w:r>
      <w:r w:rsidR="00A244D7">
        <w:rPr>
          <w:rFonts w:ascii="Arial" w:hAnsi="Arial" w:cs="Arial"/>
          <w:sz w:val="20"/>
          <w:szCs w:val="20"/>
        </w:rPr>
        <w:t>demonstrating</w:t>
      </w:r>
      <w:r w:rsidRPr="00041066">
        <w:rPr>
          <w:rFonts w:ascii="Arial" w:hAnsi="Arial" w:cs="Arial"/>
          <w:sz w:val="20"/>
          <w:szCs w:val="20"/>
        </w:rPr>
        <w:t xml:space="preserve"> its continued focus on the use of IPO proceeds</w:t>
      </w:r>
      <w:r w:rsidR="00A244D7">
        <w:rPr>
          <w:rFonts w:ascii="Arial" w:hAnsi="Arial" w:cs="Arial"/>
          <w:sz w:val="20"/>
          <w:szCs w:val="20"/>
        </w:rPr>
        <w:t>,</w:t>
      </w:r>
      <w:r w:rsidRPr="00041066">
        <w:rPr>
          <w:rFonts w:ascii="Arial" w:hAnsi="Arial" w:cs="Arial"/>
          <w:sz w:val="20"/>
          <w:szCs w:val="20"/>
        </w:rPr>
        <w:t xml:space="preserve"> or other sig</w:t>
      </w:r>
      <w:r w:rsidR="009101D1" w:rsidRPr="00041066">
        <w:rPr>
          <w:rFonts w:ascii="Arial" w:hAnsi="Arial" w:cs="Arial"/>
          <w:sz w:val="20"/>
          <w:szCs w:val="20"/>
        </w:rPr>
        <w:t>nificant expenditures</w:t>
      </w:r>
      <w:r w:rsidR="00A244D7">
        <w:rPr>
          <w:rFonts w:ascii="Arial" w:hAnsi="Arial" w:cs="Arial"/>
          <w:sz w:val="20"/>
          <w:szCs w:val="20"/>
        </w:rPr>
        <w:t>,</w:t>
      </w:r>
      <w:r w:rsidR="009101D1" w:rsidRPr="00041066">
        <w:rPr>
          <w:rFonts w:ascii="Arial" w:hAnsi="Arial" w:cs="Arial"/>
          <w:sz w:val="20"/>
          <w:szCs w:val="20"/>
        </w:rPr>
        <w:t xml:space="preserve"> </w:t>
      </w:r>
      <w:r w:rsidRPr="00041066">
        <w:rPr>
          <w:rFonts w:ascii="Arial" w:hAnsi="Arial" w:cs="Arial"/>
          <w:sz w:val="20"/>
          <w:szCs w:val="20"/>
        </w:rPr>
        <w:t>by newly-listed issuers</w:t>
      </w:r>
      <w:r w:rsidR="00F74882">
        <w:rPr>
          <w:rFonts w:ascii="Arial" w:hAnsi="Arial" w:cs="Arial"/>
          <w:sz w:val="20"/>
          <w:szCs w:val="20"/>
        </w:rPr>
        <w:t>.</w:t>
      </w:r>
    </w:p>
    <w:p w14:paraId="14B65DF7" w14:textId="77777777" w:rsidR="00F74882" w:rsidRPr="00111D7A" w:rsidRDefault="00F74882" w:rsidP="00DA5E70">
      <w:pPr>
        <w:jc w:val="both"/>
        <w:rPr>
          <w:rFonts w:ascii="Arial" w:hAnsi="Arial" w:cs="Arial"/>
          <w:b/>
          <w:sz w:val="20"/>
          <w:szCs w:val="20"/>
        </w:rPr>
      </w:pPr>
      <w:r w:rsidRPr="00111D7A">
        <w:rPr>
          <w:rFonts w:ascii="Arial" w:hAnsi="Arial" w:cs="Arial"/>
          <w:b/>
          <w:sz w:val="20"/>
          <w:szCs w:val="20"/>
        </w:rPr>
        <w:t xml:space="preserve">HKEX </w:t>
      </w:r>
      <w:r w:rsidR="006B2F1A" w:rsidRPr="00111D7A">
        <w:rPr>
          <w:rFonts w:ascii="Arial" w:hAnsi="Arial" w:cs="Arial"/>
          <w:b/>
          <w:sz w:val="20"/>
          <w:szCs w:val="20"/>
        </w:rPr>
        <w:t xml:space="preserve">Disciplinary </w:t>
      </w:r>
      <w:r w:rsidRPr="00111D7A">
        <w:rPr>
          <w:rFonts w:ascii="Arial" w:hAnsi="Arial" w:cs="Arial"/>
          <w:b/>
          <w:sz w:val="20"/>
          <w:szCs w:val="20"/>
        </w:rPr>
        <w:t xml:space="preserve">Action against China Bright Culture Group </w:t>
      </w:r>
    </w:p>
    <w:p w14:paraId="333F86F3" w14:textId="77777777" w:rsidR="00F74882" w:rsidRDefault="0043388A" w:rsidP="00F74882">
      <w:pPr>
        <w:jc w:val="both"/>
        <w:rPr>
          <w:rFonts w:ascii="Arial" w:hAnsi="Arial" w:cs="Arial"/>
          <w:sz w:val="20"/>
          <w:szCs w:val="20"/>
          <w:lang w:val="en-GB"/>
        </w:rPr>
      </w:pPr>
      <w:r w:rsidRPr="00041066">
        <w:rPr>
          <w:rFonts w:ascii="Arial" w:hAnsi="Arial" w:cs="Arial"/>
          <w:sz w:val="20"/>
          <w:szCs w:val="20"/>
        </w:rPr>
        <w:t xml:space="preserve">In the case of </w:t>
      </w:r>
      <w:hyperlink r:id="rId13" w:history="1">
        <w:r w:rsidRPr="00041066">
          <w:rPr>
            <w:rStyle w:val="a3"/>
            <w:rFonts w:ascii="Arial" w:hAnsi="Arial" w:cs="Arial"/>
            <w:sz w:val="20"/>
            <w:szCs w:val="20"/>
          </w:rPr>
          <w:t>China Bright Culture Group</w:t>
        </w:r>
      </w:hyperlink>
      <w:r w:rsidRPr="00041066">
        <w:rPr>
          <w:rFonts w:ascii="Arial" w:hAnsi="Arial" w:cs="Arial"/>
          <w:sz w:val="20"/>
          <w:szCs w:val="20"/>
        </w:rPr>
        <w:t xml:space="preserve"> </w:t>
      </w:r>
      <w:r w:rsidR="00B642CB">
        <w:rPr>
          <w:rFonts w:ascii="Arial" w:hAnsi="Arial" w:cs="Arial"/>
          <w:sz w:val="20"/>
          <w:szCs w:val="20"/>
        </w:rPr>
        <w:t>(</w:t>
      </w:r>
      <w:r w:rsidR="00B642CB" w:rsidRPr="00B642CB">
        <w:rPr>
          <w:rFonts w:ascii="Arial" w:hAnsi="Arial" w:cs="Arial"/>
          <w:b/>
          <w:sz w:val="20"/>
          <w:szCs w:val="20"/>
        </w:rPr>
        <w:t>China Bright</w:t>
      </w:r>
      <w:r w:rsidR="00B642CB">
        <w:rPr>
          <w:rFonts w:ascii="Arial" w:hAnsi="Arial" w:cs="Arial"/>
          <w:sz w:val="20"/>
          <w:szCs w:val="20"/>
        </w:rPr>
        <w:t>)</w:t>
      </w:r>
      <w:r w:rsidR="00B642CB" w:rsidRPr="00041066">
        <w:rPr>
          <w:rFonts w:ascii="Arial" w:hAnsi="Arial" w:cs="Arial"/>
          <w:sz w:val="20"/>
          <w:szCs w:val="20"/>
        </w:rPr>
        <w:t>,</w:t>
      </w:r>
      <w:r w:rsidR="00B642CB">
        <w:rPr>
          <w:rFonts w:ascii="Arial" w:hAnsi="Arial" w:cs="Arial"/>
          <w:sz w:val="20"/>
          <w:szCs w:val="20"/>
        </w:rPr>
        <w:t xml:space="preserve"> </w:t>
      </w:r>
      <w:r w:rsidR="00B642CB">
        <w:rPr>
          <w:rFonts w:ascii="Arial" w:hAnsi="Arial" w:cs="Arial"/>
          <w:sz w:val="20"/>
          <w:szCs w:val="20"/>
          <w:lang w:val="en-GB"/>
        </w:rPr>
        <w:t>on the first day of the company’s listing,</w:t>
      </w:r>
      <w:r w:rsidR="00B642CB" w:rsidRPr="00041066">
        <w:rPr>
          <w:rFonts w:ascii="Arial" w:hAnsi="Arial" w:cs="Arial"/>
          <w:sz w:val="20"/>
          <w:szCs w:val="20"/>
        </w:rPr>
        <w:t xml:space="preserve"> </w:t>
      </w:r>
      <w:r w:rsidR="00B642CB">
        <w:rPr>
          <w:rFonts w:ascii="Arial" w:hAnsi="Arial" w:cs="Arial"/>
          <w:sz w:val="20"/>
          <w:szCs w:val="20"/>
        </w:rPr>
        <w:t xml:space="preserve">China Bright </w:t>
      </w:r>
      <w:r w:rsidRPr="00041066">
        <w:rPr>
          <w:rFonts w:ascii="Arial" w:hAnsi="Arial" w:cs="Arial"/>
          <w:sz w:val="20"/>
          <w:szCs w:val="20"/>
        </w:rPr>
        <w:t>used a significant portion of its IPO proceeds to enter into an undisclosed asset management agreement with a party</w:t>
      </w:r>
      <w:r w:rsidR="001A6F0E" w:rsidRPr="00041066">
        <w:rPr>
          <w:rFonts w:ascii="Arial" w:hAnsi="Arial" w:cs="Arial"/>
          <w:sz w:val="20"/>
          <w:szCs w:val="20"/>
        </w:rPr>
        <w:t xml:space="preserve"> that had</w:t>
      </w:r>
      <w:r w:rsidRPr="00041066">
        <w:rPr>
          <w:rFonts w:ascii="Arial" w:hAnsi="Arial" w:cs="Arial"/>
          <w:sz w:val="20"/>
          <w:szCs w:val="20"/>
        </w:rPr>
        <w:t xml:space="preserve"> </w:t>
      </w:r>
      <w:r w:rsidR="00FB285C" w:rsidRPr="00041066">
        <w:rPr>
          <w:rFonts w:ascii="Arial" w:hAnsi="Arial" w:cs="Arial"/>
          <w:sz w:val="20"/>
          <w:szCs w:val="20"/>
        </w:rPr>
        <w:t xml:space="preserve">been </w:t>
      </w:r>
      <w:r w:rsidR="00B642CB">
        <w:rPr>
          <w:rFonts w:ascii="Arial" w:hAnsi="Arial" w:cs="Arial"/>
          <w:sz w:val="20"/>
          <w:szCs w:val="20"/>
        </w:rPr>
        <w:t>involved in its</w:t>
      </w:r>
      <w:r w:rsidRPr="00041066">
        <w:rPr>
          <w:rFonts w:ascii="Arial" w:hAnsi="Arial" w:cs="Arial"/>
          <w:sz w:val="20"/>
          <w:szCs w:val="20"/>
        </w:rPr>
        <w:t xml:space="preserve"> IPO</w:t>
      </w:r>
      <w:r w:rsidR="00A244D7">
        <w:rPr>
          <w:rFonts w:ascii="Arial" w:hAnsi="Arial" w:cs="Arial"/>
          <w:sz w:val="20"/>
          <w:szCs w:val="20"/>
        </w:rPr>
        <w:t xml:space="preserve"> as joint global coordinator, joint bookrunner and joint lead manager</w:t>
      </w:r>
      <w:r w:rsidRPr="00041066">
        <w:rPr>
          <w:rFonts w:ascii="Arial" w:hAnsi="Arial" w:cs="Arial"/>
          <w:sz w:val="20"/>
          <w:szCs w:val="20"/>
        </w:rPr>
        <w:t xml:space="preserve">. This party then invested the entire amount in a promissory note issued by its </w:t>
      </w:r>
      <w:r w:rsidR="008D7685" w:rsidRPr="00041066">
        <w:rPr>
          <w:rFonts w:ascii="Arial" w:hAnsi="Arial" w:cs="Arial"/>
          <w:sz w:val="20"/>
          <w:szCs w:val="20"/>
        </w:rPr>
        <w:t>affiliated party</w:t>
      </w:r>
      <w:r w:rsidRPr="00041066">
        <w:rPr>
          <w:rFonts w:ascii="Arial" w:hAnsi="Arial" w:cs="Arial"/>
          <w:sz w:val="20"/>
          <w:szCs w:val="20"/>
        </w:rPr>
        <w:t xml:space="preserve">. </w:t>
      </w:r>
      <w:r w:rsidR="00F74882">
        <w:rPr>
          <w:rFonts w:ascii="Arial" w:hAnsi="Arial" w:cs="Arial"/>
          <w:sz w:val="20"/>
          <w:szCs w:val="20"/>
          <w:lang w:val="en-GB"/>
        </w:rPr>
        <w:t xml:space="preserve">China Bright terminated the </w:t>
      </w:r>
      <w:r w:rsidR="00F74882" w:rsidRPr="00041066">
        <w:rPr>
          <w:rFonts w:ascii="Arial" w:hAnsi="Arial" w:cs="Arial"/>
          <w:sz w:val="20"/>
          <w:szCs w:val="20"/>
        </w:rPr>
        <w:t>asset management agreement</w:t>
      </w:r>
      <w:r w:rsidR="00F74882">
        <w:rPr>
          <w:rFonts w:ascii="Arial" w:hAnsi="Arial" w:cs="Arial"/>
          <w:sz w:val="20"/>
          <w:szCs w:val="20"/>
          <w:lang w:val="en-GB"/>
        </w:rPr>
        <w:t xml:space="preserve"> about a year later. Although it redeemed the investment amount, it received no interest or return on the investment and the upfront fee of US$3.5 million was incurred as a loss. </w:t>
      </w:r>
    </w:p>
    <w:p w14:paraId="2728F74A" w14:textId="77777777" w:rsidR="00F74882" w:rsidRDefault="00F74882" w:rsidP="00F74882">
      <w:pPr>
        <w:jc w:val="both"/>
        <w:rPr>
          <w:rFonts w:ascii="Arial" w:hAnsi="Arial" w:cs="Arial"/>
          <w:sz w:val="20"/>
          <w:szCs w:val="20"/>
        </w:rPr>
      </w:pPr>
      <w:r>
        <w:rPr>
          <w:rFonts w:ascii="Arial" w:hAnsi="Arial" w:cs="Arial"/>
          <w:sz w:val="20"/>
          <w:szCs w:val="20"/>
        </w:rPr>
        <w:t>China Bright</w:t>
      </w:r>
      <w:r w:rsidR="0043388A" w:rsidRPr="00F74882">
        <w:rPr>
          <w:rFonts w:ascii="Arial" w:hAnsi="Arial" w:cs="Arial"/>
          <w:sz w:val="20"/>
          <w:szCs w:val="20"/>
        </w:rPr>
        <w:t xml:space="preserve"> </w:t>
      </w:r>
      <w:r w:rsidR="00B642CB" w:rsidRPr="00F74882">
        <w:rPr>
          <w:rFonts w:ascii="Arial" w:hAnsi="Arial" w:cs="Arial"/>
          <w:sz w:val="20"/>
          <w:szCs w:val="20"/>
        </w:rPr>
        <w:t xml:space="preserve">failed to disclose its intention to enter into the asset management agreement and acquire the promissory note </w:t>
      </w:r>
      <w:r>
        <w:rPr>
          <w:rFonts w:ascii="Arial" w:hAnsi="Arial" w:cs="Arial"/>
          <w:sz w:val="20"/>
          <w:szCs w:val="20"/>
        </w:rPr>
        <w:t>in its</w:t>
      </w:r>
      <w:r w:rsidR="0043388A" w:rsidRPr="00F74882">
        <w:rPr>
          <w:rFonts w:ascii="Arial" w:hAnsi="Arial" w:cs="Arial"/>
          <w:sz w:val="20"/>
          <w:szCs w:val="20"/>
        </w:rPr>
        <w:t xml:space="preserve"> prospectus</w:t>
      </w:r>
      <w:r w:rsidR="00B642CB" w:rsidRPr="00F74882">
        <w:rPr>
          <w:rFonts w:ascii="Arial" w:hAnsi="Arial" w:cs="Arial"/>
          <w:sz w:val="20"/>
          <w:szCs w:val="20"/>
        </w:rPr>
        <w:t xml:space="preserve"> in breach of HKEX Listing Rule 2.13(2) </w:t>
      </w:r>
      <w:r w:rsidR="00B642CB" w:rsidRPr="00F74882">
        <w:rPr>
          <w:rFonts w:ascii="Arial" w:hAnsi="Arial" w:cs="Arial"/>
          <w:sz w:val="20"/>
          <w:szCs w:val="20"/>
          <w:lang w:val="en-GB"/>
        </w:rPr>
        <w:t xml:space="preserve">(the requirement for all information contained in a listed company’s </w:t>
      </w:r>
      <w:r w:rsidR="00D2105F">
        <w:rPr>
          <w:rFonts w:ascii="Arial" w:hAnsi="Arial" w:cs="Arial"/>
          <w:sz w:val="20"/>
          <w:szCs w:val="20"/>
          <w:lang w:val="en-GB"/>
        </w:rPr>
        <w:t xml:space="preserve">announcement or corporate </w:t>
      </w:r>
      <w:proofErr w:type="spellStart"/>
      <w:r w:rsidR="00D2105F">
        <w:rPr>
          <w:rFonts w:ascii="Arial" w:hAnsi="Arial" w:cs="Arial"/>
          <w:sz w:val="20"/>
          <w:szCs w:val="20"/>
          <w:lang w:val="en-GB"/>
        </w:rPr>
        <w:t>communitcation</w:t>
      </w:r>
      <w:proofErr w:type="spellEnd"/>
      <w:r w:rsidR="00B642CB" w:rsidRPr="00F74882">
        <w:rPr>
          <w:rFonts w:ascii="Arial" w:hAnsi="Arial" w:cs="Arial"/>
          <w:sz w:val="20"/>
          <w:szCs w:val="20"/>
          <w:lang w:val="en-GB"/>
        </w:rPr>
        <w:t xml:space="preserve"> to be accurate and complete in all material respects and not be misleading or deceptive). Alternatively, China Bright had failed to disclose the change in the use of its IPO proceeds under the then prevailing </w:t>
      </w:r>
      <w:proofErr w:type="spellStart"/>
      <w:r w:rsidR="00B642CB" w:rsidRPr="00F74882">
        <w:rPr>
          <w:rFonts w:ascii="Arial" w:hAnsi="Arial" w:cs="Arial"/>
          <w:sz w:val="20"/>
          <w:szCs w:val="20"/>
          <w:lang w:val="en-GB"/>
        </w:rPr>
        <w:t>HKEx</w:t>
      </w:r>
      <w:proofErr w:type="spellEnd"/>
      <w:r w:rsidR="00B642CB" w:rsidRPr="00F74882">
        <w:rPr>
          <w:rFonts w:ascii="Arial" w:hAnsi="Arial" w:cs="Arial"/>
          <w:sz w:val="20"/>
          <w:szCs w:val="20"/>
          <w:lang w:val="en-GB"/>
        </w:rPr>
        <w:t xml:space="preserve"> Guidance Letter GL86-16 (Part 1). At the time, paragraph 3.13 of that Guidance Letter stated that any material change in the use of IPO proceeds is generally price sensitive and must be announced after listing if information regarding the change is not disclosed in the prospectus. China Bright </w:t>
      </w:r>
      <w:r>
        <w:rPr>
          <w:rFonts w:ascii="Arial" w:hAnsi="Arial" w:cs="Arial"/>
          <w:sz w:val="20"/>
          <w:szCs w:val="20"/>
          <w:lang w:val="en-GB"/>
        </w:rPr>
        <w:t xml:space="preserve">also </w:t>
      </w:r>
      <w:r>
        <w:rPr>
          <w:rFonts w:ascii="Arial" w:hAnsi="Arial" w:cs="Arial"/>
          <w:sz w:val="20"/>
          <w:szCs w:val="20"/>
        </w:rPr>
        <w:t>failed to:</w:t>
      </w:r>
    </w:p>
    <w:p w14:paraId="69A391A5" w14:textId="77777777" w:rsidR="0043388A" w:rsidRDefault="00F74882" w:rsidP="00F74882">
      <w:pPr>
        <w:pStyle w:val="a4"/>
        <w:numPr>
          <w:ilvl w:val="0"/>
          <w:numId w:val="9"/>
        </w:numPr>
        <w:jc w:val="both"/>
        <w:rPr>
          <w:rFonts w:ascii="Arial" w:hAnsi="Arial" w:cs="Arial"/>
          <w:sz w:val="20"/>
          <w:szCs w:val="20"/>
        </w:rPr>
      </w:pPr>
      <w:r w:rsidRPr="00F74882">
        <w:rPr>
          <w:rFonts w:ascii="Arial" w:hAnsi="Arial" w:cs="Arial"/>
          <w:sz w:val="20"/>
          <w:szCs w:val="20"/>
        </w:rPr>
        <w:t xml:space="preserve">comply with the announcement </w:t>
      </w:r>
      <w:r w:rsidR="0043388A" w:rsidRPr="00F74882">
        <w:rPr>
          <w:rFonts w:ascii="Arial" w:hAnsi="Arial" w:cs="Arial"/>
          <w:sz w:val="20"/>
          <w:szCs w:val="20"/>
        </w:rPr>
        <w:t>and shareholders’ approval requirements</w:t>
      </w:r>
      <w:r w:rsidRPr="00F74882">
        <w:rPr>
          <w:rFonts w:ascii="Arial" w:hAnsi="Arial" w:cs="Arial"/>
          <w:sz w:val="20"/>
          <w:szCs w:val="20"/>
        </w:rPr>
        <w:t xml:space="preserve"> </w:t>
      </w:r>
      <w:r w:rsidRPr="00F74882">
        <w:rPr>
          <w:rFonts w:ascii="Arial" w:hAnsi="Arial" w:cs="Arial"/>
          <w:sz w:val="20"/>
          <w:szCs w:val="20"/>
          <w:lang w:val="en-GB"/>
        </w:rPr>
        <w:t xml:space="preserve">with respect to the </w:t>
      </w:r>
      <w:r w:rsidRPr="00F74882">
        <w:rPr>
          <w:rFonts w:ascii="Arial" w:hAnsi="Arial" w:cs="Arial"/>
          <w:sz w:val="20"/>
          <w:szCs w:val="20"/>
        </w:rPr>
        <w:t xml:space="preserve">asset management agreement </w:t>
      </w:r>
      <w:r w:rsidRPr="00F74882">
        <w:rPr>
          <w:rFonts w:ascii="Arial" w:hAnsi="Arial" w:cs="Arial"/>
          <w:sz w:val="20"/>
          <w:szCs w:val="20"/>
          <w:lang w:val="en-GB"/>
        </w:rPr>
        <w:t>and promissory note (which constituted a major transaction of China Bright)</w:t>
      </w:r>
      <w:r w:rsidR="00B377BE">
        <w:rPr>
          <w:rFonts w:ascii="Arial" w:hAnsi="Arial" w:cs="Arial"/>
          <w:sz w:val="20"/>
          <w:szCs w:val="20"/>
        </w:rPr>
        <w:t>; and</w:t>
      </w:r>
    </w:p>
    <w:p w14:paraId="431756E2" w14:textId="77777777" w:rsidR="00B377BE" w:rsidRDefault="00B377BE" w:rsidP="00B377BE">
      <w:pPr>
        <w:pStyle w:val="a4"/>
        <w:ind w:left="775"/>
        <w:jc w:val="both"/>
        <w:rPr>
          <w:rFonts w:ascii="Arial" w:hAnsi="Arial" w:cs="Arial"/>
          <w:sz w:val="20"/>
          <w:szCs w:val="20"/>
        </w:rPr>
      </w:pPr>
    </w:p>
    <w:p w14:paraId="716D042D" w14:textId="77777777" w:rsidR="00B377BE" w:rsidRPr="00B377BE" w:rsidRDefault="00B377BE" w:rsidP="00F74882">
      <w:pPr>
        <w:pStyle w:val="a4"/>
        <w:numPr>
          <w:ilvl w:val="0"/>
          <w:numId w:val="9"/>
        </w:numPr>
        <w:jc w:val="both"/>
        <w:rPr>
          <w:rFonts w:ascii="Arial" w:hAnsi="Arial" w:cs="Arial"/>
          <w:sz w:val="20"/>
          <w:szCs w:val="20"/>
        </w:rPr>
      </w:pPr>
      <w:r w:rsidRPr="0077316C">
        <w:rPr>
          <w:rFonts w:ascii="Arial" w:hAnsi="Arial" w:cs="Arial"/>
          <w:sz w:val="20"/>
          <w:szCs w:val="20"/>
          <w:lang w:val="en-GB"/>
        </w:rPr>
        <w:t>reflect the change in use of its IPO proceeds in its 2020 annual result</w:t>
      </w:r>
      <w:r>
        <w:rPr>
          <w:rFonts w:ascii="Arial" w:hAnsi="Arial" w:cs="Arial"/>
          <w:sz w:val="20"/>
          <w:szCs w:val="20"/>
          <w:lang w:val="en-GB"/>
        </w:rPr>
        <w:t>s</w:t>
      </w:r>
      <w:r w:rsidRPr="0077316C">
        <w:rPr>
          <w:rFonts w:ascii="Arial" w:hAnsi="Arial" w:cs="Arial"/>
          <w:sz w:val="20"/>
          <w:szCs w:val="20"/>
          <w:lang w:val="en-GB"/>
        </w:rPr>
        <w:t xml:space="preserve"> announcement, 2020 annual report and 2021 interim results announcement in breach </w:t>
      </w:r>
      <w:r>
        <w:rPr>
          <w:rFonts w:ascii="Arial" w:hAnsi="Arial" w:cs="Arial"/>
          <w:sz w:val="20"/>
          <w:szCs w:val="20"/>
          <w:lang w:val="en-GB"/>
        </w:rPr>
        <w:t xml:space="preserve">of </w:t>
      </w:r>
      <w:r w:rsidRPr="0077316C">
        <w:rPr>
          <w:rFonts w:ascii="Arial" w:hAnsi="Arial" w:cs="Arial"/>
          <w:sz w:val="20"/>
          <w:szCs w:val="20"/>
          <w:lang w:val="en-GB"/>
        </w:rPr>
        <w:t xml:space="preserve">paragraph 11(8) of Appendix 16 </w:t>
      </w:r>
      <w:r>
        <w:rPr>
          <w:rFonts w:ascii="Arial" w:hAnsi="Arial" w:cs="Arial"/>
          <w:sz w:val="20"/>
          <w:szCs w:val="20"/>
          <w:lang w:val="en-GB"/>
        </w:rPr>
        <w:t>to the HKEX</w:t>
      </w:r>
      <w:r w:rsidRPr="0077316C">
        <w:rPr>
          <w:rFonts w:ascii="Arial" w:hAnsi="Arial" w:cs="Arial"/>
          <w:sz w:val="20"/>
          <w:szCs w:val="20"/>
          <w:lang w:val="en-GB"/>
        </w:rPr>
        <w:t xml:space="preserve"> Listing Rules</w:t>
      </w:r>
      <w:r>
        <w:rPr>
          <w:rFonts w:ascii="Arial" w:hAnsi="Arial" w:cs="Arial"/>
          <w:sz w:val="20"/>
          <w:szCs w:val="20"/>
          <w:lang w:val="en-GB"/>
        </w:rPr>
        <w:t>.</w:t>
      </w:r>
    </w:p>
    <w:p w14:paraId="7E4617A6" w14:textId="77777777" w:rsidR="00B377BE" w:rsidRPr="00111D7A" w:rsidRDefault="006B2F1A" w:rsidP="00B377BE">
      <w:pPr>
        <w:jc w:val="both"/>
        <w:rPr>
          <w:rFonts w:ascii="Arial" w:hAnsi="Arial" w:cs="Arial"/>
          <w:b/>
          <w:sz w:val="20"/>
          <w:szCs w:val="20"/>
        </w:rPr>
      </w:pPr>
      <w:r w:rsidRPr="00111D7A">
        <w:rPr>
          <w:rFonts w:ascii="Arial" w:hAnsi="Arial" w:cs="Arial"/>
          <w:b/>
          <w:sz w:val="20"/>
          <w:szCs w:val="20"/>
        </w:rPr>
        <w:t>HKEX Disciplinary</w:t>
      </w:r>
      <w:r w:rsidR="00B377BE" w:rsidRPr="00111D7A">
        <w:rPr>
          <w:rFonts w:ascii="Arial" w:hAnsi="Arial" w:cs="Arial"/>
          <w:b/>
          <w:sz w:val="20"/>
          <w:szCs w:val="20"/>
        </w:rPr>
        <w:t xml:space="preserve"> Action against Raffles Interior Limited</w:t>
      </w:r>
    </w:p>
    <w:p w14:paraId="62062B52" w14:textId="77777777" w:rsidR="00053CB5" w:rsidRDefault="0043388A" w:rsidP="00B377BE">
      <w:pPr>
        <w:jc w:val="both"/>
        <w:rPr>
          <w:rFonts w:ascii="Arial" w:hAnsi="Arial" w:cs="Arial"/>
          <w:sz w:val="20"/>
          <w:szCs w:val="20"/>
        </w:rPr>
      </w:pPr>
      <w:r w:rsidRPr="00B377BE">
        <w:rPr>
          <w:rFonts w:ascii="Arial" w:hAnsi="Arial" w:cs="Arial"/>
          <w:sz w:val="20"/>
          <w:szCs w:val="20"/>
        </w:rPr>
        <w:t>In the</w:t>
      </w:r>
      <w:r w:rsidR="00B377BE">
        <w:rPr>
          <w:rFonts w:ascii="Arial" w:hAnsi="Arial" w:cs="Arial"/>
          <w:sz w:val="20"/>
          <w:szCs w:val="20"/>
        </w:rPr>
        <w:t xml:space="preserve"> case involving</w:t>
      </w:r>
      <w:r w:rsidRPr="00B377BE">
        <w:rPr>
          <w:rFonts w:ascii="Arial" w:hAnsi="Arial" w:cs="Arial"/>
          <w:sz w:val="20"/>
          <w:szCs w:val="20"/>
        </w:rPr>
        <w:t xml:space="preserve"> </w:t>
      </w:r>
      <w:hyperlink r:id="rId14" w:history="1">
        <w:r w:rsidRPr="00B377BE">
          <w:rPr>
            <w:rStyle w:val="a3"/>
            <w:rFonts w:ascii="Arial" w:hAnsi="Arial" w:cs="Arial"/>
            <w:sz w:val="20"/>
            <w:szCs w:val="20"/>
          </w:rPr>
          <w:t>Raffles Interior Limited</w:t>
        </w:r>
      </w:hyperlink>
      <w:r w:rsidRPr="00B377BE">
        <w:rPr>
          <w:rFonts w:ascii="Arial" w:hAnsi="Arial" w:cs="Arial"/>
          <w:sz w:val="20"/>
          <w:szCs w:val="20"/>
        </w:rPr>
        <w:t xml:space="preserve"> </w:t>
      </w:r>
      <w:r w:rsidR="00B377BE">
        <w:rPr>
          <w:rFonts w:ascii="Arial" w:hAnsi="Arial" w:cs="Arial"/>
          <w:sz w:val="20"/>
          <w:szCs w:val="20"/>
        </w:rPr>
        <w:t>(</w:t>
      </w:r>
      <w:r w:rsidR="00B377BE" w:rsidRPr="00B377BE">
        <w:rPr>
          <w:rFonts w:ascii="Arial" w:hAnsi="Arial" w:cs="Arial"/>
          <w:b/>
          <w:sz w:val="20"/>
          <w:szCs w:val="20"/>
        </w:rPr>
        <w:t>Raffles</w:t>
      </w:r>
      <w:r w:rsidR="00B377BE">
        <w:rPr>
          <w:rFonts w:ascii="Arial" w:hAnsi="Arial" w:cs="Arial"/>
          <w:sz w:val="20"/>
          <w:szCs w:val="20"/>
        </w:rPr>
        <w:t xml:space="preserve">), </w:t>
      </w:r>
      <w:r w:rsidRPr="00B377BE">
        <w:rPr>
          <w:rFonts w:ascii="Arial" w:hAnsi="Arial" w:cs="Arial"/>
          <w:sz w:val="20"/>
          <w:szCs w:val="20"/>
        </w:rPr>
        <w:t xml:space="preserve">the </w:t>
      </w:r>
      <w:r w:rsidR="00B377BE">
        <w:rPr>
          <w:rFonts w:ascii="Arial" w:hAnsi="Arial" w:cs="Arial"/>
          <w:sz w:val="20"/>
          <w:szCs w:val="20"/>
        </w:rPr>
        <w:t xml:space="preserve">company </w:t>
      </w:r>
      <w:r w:rsidRPr="00B377BE">
        <w:rPr>
          <w:rFonts w:ascii="Arial" w:hAnsi="Arial" w:cs="Arial"/>
          <w:sz w:val="20"/>
          <w:szCs w:val="20"/>
        </w:rPr>
        <w:t xml:space="preserve">entered into several </w:t>
      </w:r>
      <w:r w:rsidR="00B377BE">
        <w:rPr>
          <w:rFonts w:ascii="Arial" w:hAnsi="Arial" w:cs="Arial"/>
          <w:sz w:val="20"/>
          <w:szCs w:val="20"/>
        </w:rPr>
        <w:t>agreements for professional and</w:t>
      </w:r>
      <w:r w:rsidRPr="00B377BE">
        <w:rPr>
          <w:rFonts w:ascii="Arial" w:hAnsi="Arial" w:cs="Arial"/>
          <w:sz w:val="20"/>
          <w:szCs w:val="20"/>
        </w:rPr>
        <w:t xml:space="preserve"> consultancy</w:t>
      </w:r>
      <w:r w:rsidR="00486856" w:rsidRPr="00B377BE">
        <w:rPr>
          <w:rFonts w:ascii="Arial" w:hAnsi="Arial" w:cs="Arial"/>
          <w:sz w:val="20"/>
          <w:szCs w:val="20"/>
        </w:rPr>
        <w:t xml:space="preserve"> services</w:t>
      </w:r>
      <w:r w:rsidRPr="00B377BE">
        <w:rPr>
          <w:rFonts w:ascii="Arial" w:hAnsi="Arial" w:cs="Arial"/>
          <w:sz w:val="20"/>
          <w:szCs w:val="20"/>
        </w:rPr>
        <w:t xml:space="preserve"> and </w:t>
      </w:r>
      <w:r w:rsidR="00B377BE">
        <w:rPr>
          <w:rFonts w:ascii="Arial" w:hAnsi="Arial" w:cs="Arial"/>
          <w:sz w:val="20"/>
          <w:szCs w:val="20"/>
        </w:rPr>
        <w:t>an investment management agreement</w:t>
      </w:r>
      <w:r w:rsidR="001C5516">
        <w:rPr>
          <w:rFonts w:ascii="Arial" w:hAnsi="Arial" w:cs="Arial"/>
          <w:sz w:val="20"/>
          <w:szCs w:val="20"/>
        </w:rPr>
        <w:t xml:space="preserve"> around the time of listing.</w:t>
      </w:r>
      <w:r w:rsidRPr="00B377BE">
        <w:rPr>
          <w:rFonts w:ascii="Arial" w:hAnsi="Arial" w:cs="Arial"/>
          <w:sz w:val="20"/>
          <w:szCs w:val="20"/>
        </w:rPr>
        <w:t xml:space="preserve"> </w:t>
      </w:r>
      <w:r w:rsidR="001C5516">
        <w:rPr>
          <w:rFonts w:ascii="Arial" w:hAnsi="Arial" w:cs="Arial"/>
          <w:sz w:val="20"/>
          <w:szCs w:val="20"/>
        </w:rPr>
        <w:t xml:space="preserve">The company’s intention to enter into these agreements was not disclosed in its prospectus, despite </w:t>
      </w:r>
      <w:r w:rsidRPr="00B377BE">
        <w:rPr>
          <w:rFonts w:ascii="Arial" w:hAnsi="Arial" w:cs="Arial"/>
          <w:sz w:val="20"/>
          <w:szCs w:val="20"/>
        </w:rPr>
        <w:t>involving advance payments of substantial service fees amounting to 40% of the</w:t>
      </w:r>
      <w:r w:rsidR="001C5516">
        <w:rPr>
          <w:rFonts w:ascii="Arial" w:hAnsi="Arial" w:cs="Arial"/>
          <w:sz w:val="20"/>
          <w:szCs w:val="20"/>
        </w:rPr>
        <w:t xml:space="preserve"> company</w:t>
      </w:r>
      <w:r w:rsidR="004219BB" w:rsidRPr="00B377BE">
        <w:rPr>
          <w:rFonts w:ascii="Arial" w:hAnsi="Arial" w:cs="Arial"/>
          <w:sz w:val="20"/>
          <w:szCs w:val="20"/>
        </w:rPr>
        <w:t>’s net IPO proceeds</w:t>
      </w:r>
      <w:r w:rsidR="001613E3" w:rsidRPr="00B377BE">
        <w:rPr>
          <w:rFonts w:ascii="Arial" w:hAnsi="Arial" w:cs="Arial"/>
          <w:sz w:val="20"/>
          <w:szCs w:val="20"/>
        </w:rPr>
        <w:t>. The H</w:t>
      </w:r>
      <w:r w:rsidR="004219BB" w:rsidRPr="00B377BE">
        <w:rPr>
          <w:rFonts w:ascii="Arial" w:hAnsi="Arial" w:cs="Arial"/>
          <w:sz w:val="20"/>
          <w:szCs w:val="20"/>
        </w:rPr>
        <w:t xml:space="preserve">KEX </w:t>
      </w:r>
      <w:r w:rsidR="001C5516">
        <w:rPr>
          <w:rFonts w:ascii="Arial" w:hAnsi="Arial" w:cs="Arial"/>
          <w:sz w:val="20"/>
          <w:szCs w:val="20"/>
        </w:rPr>
        <w:t xml:space="preserve">considered the </w:t>
      </w:r>
      <w:r w:rsidRPr="00B377BE">
        <w:rPr>
          <w:rFonts w:ascii="Arial" w:hAnsi="Arial" w:cs="Arial"/>
          <w:sz w:val="20"/>
          <w:szCs w:val="20"/>
        </w:rPr>
        <w:t xml:space="preserve">commercial rationale </w:t>
      </w:r>
      <w:r w:rsidR="001C5516">
        <w:rPr>
          <w:rFonts w:ascii="Arial" w:hAnsi="Arial" w:cs="Arial"/>
          <w:sz w:val="20"/>
          <w:szCs w:val="20"/>
        </w:rPr>
        <w:t xml:space="preserve">for entering into the </w:t>
      </w:r>
      <w:r w:rsidRPr="00B377BE">
        <w:rPr>
          <w:rFonts w:ascii="Arial" w:hAnsi="Arial" w:cs="Arial"/>
          <w:sz w:val="20"/>
          <w:szCs w:val="20"/>
        </w:rPr>
        <w:t>agreements</w:t>
      </w:r>
      <w:r w:rsidR="001C5516">
        <w:rPr>
          <w:rFonts w:ascii="Arial" w:hAnsi="Arial" w:cs="Arial"/>
          <w:sz w:val="20"/>
          <w:szCs w:val="20"/>
        </w:rPr>
        <w:t xml:space="preserve"> to be doubtful, particularly as the fees charged by the service providers were excessive, and the services provided were </w:t>
      </w:r>
      <w:r w:rsidR="001C5516">
        <w:rPr>
          <w:rFonts w:ascii="Arial" w:hAnsi="Arial" w:cs="Arial"/>
          <w:sz w:val="20"/>
          <w:szCs w:val="20"/>
        </w:rPr>
        <w:lastRenderedPageBreak/>
        <w:t>limited and/or dubious</w:t>
      </w:r>
      <w:r w:rsidRPr="00B377BE">
        <w:rPr>
          <w:rFonts w:ascii="Arial" w:hAnsi="Arial" w:cs="Arial"/>
          <w:sz w:val="20"/>
          <w:szCs w:val="20"/>
        </w:rPr>
        <w:t xml:space="preserve">. </w:t>
      </w:r>
      <w:r w:rsidR="002355B2" w:rsidRPr="00B377BE">
        <w:rPr>
          <w:rFonts w:ascii="Arial" w:hAnsi="Arial" w:cs="Arial"/>
          <w:sz w:val="20"/>
          <w:szCs w:val="20"/>
        </w:rPr>
        <w:t xml:space="preserve">The auditor’s </w:t>
      </w:r>
      <w:r w:rsidR="008500D3" w:rsidRPr="00B377BE">
        <w:rPr>
          <w:rFonts w:ascii="Arial" w:hAnsi="Arial" w:cs="Arial"/>
          <w:sz w:val="20"/>
          <w:szCs w:val="20"/>
        </w:rPr>
        <w:t>subsequent</w:t>
      </w:r>
      <w:r w:rsidR="002355B2" w:rsidRPr="00B377BE">
        <w:rPr>
          <w:rFonts w:ascii="Arial" w:hAnsi="Arial" w:cs="Arial"/>
          <w:sz w:val="20"/>
          <w:szCs w:val="20"/>
        </w:rPr>
        <w:t xml:space="preserve"> discovery of the agreements resulted in </w:t>
      </w:r>
      <w:r w:rsidR="001C5516">
        <w:rPr>
          <w:rFonts w:ascii="Arial" w:hAnsi="Arial" w:cs="Arial"/>
          <w:sz w:val="20"/>
          <w:szCs w:val="20"/>
        </w:rPr>
        <w:t>a delay</w:t>
      </w:r>
      <w:r w:rsidR="002355B2" w:rsidRPr="00B377BE">
        <w:rPr>
          <w:rFonts w:ascii="Arial" w:hAnsi="Arial" w:cs="Arial"/>
          <w:sz w:val="20"/>
          <w:szCs w:val="20"/>
        </w:rPr>
        <w:t xml:space="preserve"> in </w:t>
      </w:r>
      <w:r w:rsidR="00FB285C" w:rsidRPr="00B377BE">
        <w:rPr>
          <w:rFonts w:ascii="Arial" w:hAnsi="Arial" w:cs="Arial"/>
          <w:sz w:val="20"/>
          <w:szCs w:val="20"/>
        </w:rPr>
        <w:t xml:space="preserve">the </w:t>
      </w:r>
      <w:r w:rsidR="001C5516">
        <w:rPr>
          <w:rFonts w:ascii="Arial" w:hAnsi="Arial" w:cs="Arial"/>
          <w:sz w:val="20"/>
          <w:szCs w:val="20"/>
        </w:rPr>
        <w:t xml:space="preserve">company’s </w:t>
      </w:r>
      <w:r w:rsidR="002355B2" w:rsidRPr="00B377BE">
        <w:rPr>
          <w:rFonts w:ascii="Arial" w:hAnsi="Arial" w:cs="Arial"/>
          <w:sz w:val="20"/>
          <w:szCs w:val="20"/>
        </w:rPr>
        <w:t>financial reporting</w:t>
      </w:r>
      <w:r w:rsidR="001C5516">
        <w:rPr>
          <w:rFonts w:ascii="Arial" w:hAnsi="Arial" w:cs="Arial"/>
          <w:sz w:val="20"/>
          <w:szCs w:val="20"/>
        </w:rPr>
        <w:t xml:space="preserve"> </w:t>
      </w:r>
      <w:r w:rsidR="008500D3" w:rsidRPr="00B377BE">
        <w:rPr>
          <w:rFonts w:ascii="Arial" w:hAnsi="Arial" w:cs="Arial"/>
          <w:sz w:val="20"/>
          <w:szCs w:val="20"/>
        </w:rPr>
        <w:t>and a</w:t>
      </w:r>
      <w:r w:rsidR="002355B2" w:rsidRPr="00B377BE">
        <w:rPr>
          <w:rFonts w:ascii="Arial" w:hAnsi="Arial" w:cs="Arial"/>
          <w:sz w:val="20"/>
          <w:szCs w:val="20"/>
        </w:rPr>
        <w:t xml:space="preserve"> trading suspension</w:t>
      </w:r>
      <w:r w:rsidR="008500D3" w:rsidRPr="00B377BE">
        <w:rPr>
          <w:rFonts w:ascii="Arial" w:hAnsi="Arial" w:cs="Arial"/>
          <w:sz w:val="20"/>
          <w:szCs w:val="20"/>
        </w:rPr>
        <w:t xml:space="preserve"> being implemented </w:t>
      </w:r>
      <w:r w:rsidR="002355B2" w:rsidRPr="00B377BE">
        <w:rPr>
          <w:rFonts w:ascii="Arial" w:hAnsi="Arial" w:cs="Arial"/>
          <w:sz w:val="20"/>
          <w:szCs w:val="20"/>
        </w:rPr>
        <w:t>o</w:t>
      </w:r>
      <w:r w:rsidR="008500D3" w:rsidRPr="00B377BE">
        <w:rPr>
          <w:rFonts w:ascii="Arial" w:hAnsi="Arial" w:cs="Arial"/>
          <w:sz w:val="20"/>
          <w:szCs w:val="20"/>
        </w:rPr>
        <w:t xml:space="preserve">nly 11 months after </w:t>
      </w:r>
      <w:r w:rsidR="001C5516">
        <w:rPr>
          <w:rFonts w:ascii="Arial" w:hAnsi="Arial" w:cs="Arial"/>
          <w:sz w:val="20"/>
          <w:szCs w:val="20"/>
        </w:rPr>
        <w:t>the company</w:t>
      </w:r>
      <w:r w:rsidR="00785AA9" w:rsidRPr="00B377BE">
        <w:rPr>
          <w:rFonts w:ascii="Arial" w:hAnsi="Arial" w:cs="Arial"/>
          <w:sz w:val="20"/>
          <w:szCs w:val="20"/>
        </w:rPr>
        <w:t>’s listing</w:t>
      </w:r>
      <w:r w:rsidR="002355B2" w:rsidRPr="00B377BE">
        <w:rPr>
          <w:rFonts w:ascii="Arial" w:hAnsi="Arial" w:cs="Arial"/>
          <w:sz w:val="20"/>
          <w:szCs w:val="20"/>
        </w:rPr>
        <w:t>.</w:t>
      </w:r>
      <w:r w:rsidRPr="00B377BE">
        <w:rPr>
          <w:rFonts w:ascii="Arial" w:hAnsi="Arial" w:cs="Arial"/>
          <w:sz w:val="20"/>
          <w:szCs w:val="20"/>
        </w:rPr>
        <w:t xml:space="preserve"> </w:t>
      </w:r>
    </w:p>
    <w:p w14:paraId="21B8D7E9" w14:textId="77777777" w:rsidR="000C4AF7" w:rsidRPr="00B377BE" w:rsidRDefault="000C4AF7" w:rsidP="00B377BE">
      <w:pPr>
        <w:jc w:val="both"/>
        <w:rPr>
          <w:rFonts w:ascii="Arial" w:hAnsi="Arial" w:cs="Arial"/>
          <w:sz w:val="20"/>
          <w:szCs w:val="20"/>
        </w:rPr>
      </w:pPr>
      <w:r>
        <w:rPr>
          <w:rFonts w:ascii="Arial" w:hAnsi="Arial" w:cs="Arial"/>
          <w:sz w:val="20"/>
          <w:szCs w:val="20"/>
        </w:rPr>
        <w:t>Raffles was found to have breached HKEX Listing Rule 2.13(2) and/or 11.07 by failing to disclose in its prospectus its intention to enter into the service agreements and/or its investment plans. It also breached the HKEX Listing Rules’ requirements for the publication of its annual and interim results and the dispatch of its annual and interim reports.</w:t>
      </w:r>
    </w:p>
    <w:p w14:paraId="4B3FC76E" w14:textId="77777777" w:rsidR="00BC24B6" w:rsidRPr="00041066" w:rsidRDefault="000C4AF7" w:rsidP="00DA5E70">
      <w:pPr>
        <w:jc w:val="both"/>
        <w:rPr>
          <w:rFonts w:ascii="Arial" w:hAnsi="Arial" w:cs="Arial"/>
          <w:sz w:val="20"/>
          <w:szCs w:val="20"/>
        </w:rPr>
      </w:pPr>
      <w:r>
        <w:rPr>
          <w:rFonts w:ascii="Arial" w:hAnsi="Arial" w:cs="Arial"/>
          <w:sz w:val="20"/>
          <w:szCs w:val="20"/>
        </w:rPr>
        <w:t xml:space="preserve">In the Enforcement Bulletin, </w:t>
      </w:r>
      <w:r w:rsidR="00BF7949" w:rsidRPr="00041066">
        <w:rPr>
          <w:rFonts w:ascii="Arial" w:hAnsi="Arial" w:cs="Arial"/>
          <w:sz w:val="20"/>
          <w:szCs w:val="20"/>
        </w:rPr>
        <w:t>the HKEX reiterates</w:t>
      </w:r>
      <w:r w:rsidR="00053CB5" w:rsidRPr="00041066">
        <w:rPr>
          <w:rFonts w:ascii="Arial" w:hAnsi="Arial" w:cs="Arial"/>
          <w:sz w:val="20"/>
          <w:szCs w:val="20"/>
        </w:rPr>
        <w:t xml:space="preserve"> the importance of adequate and timely disclosure of material commitments and expenditures by newly-listed issuers, particularly </w:t>
      </w:r>
      <w:r>
        <w:rPr>
          <w:rFonts w:ascii="Arial" w:hAnsi="Arial" w:cs="Arial"/>
          <w:sz w:val="20"/>
          <w:szCs w:val="20"/>
        </w:rPr>
        <w:t xml:space="preserve">of </w:t>
      </w:r>
      <w:r w:rsidR="00053CB5" w:rsidRPr="00041066">
        <w:rPr>
          <w:rFonts w:ascii="Arial" w:hAnsi="Arial" w:cs="Arial"/>
          <w:sz w:val="20"/>
          <w:szCs w:val="20"/>
        </w:rPr>
        <w:t xml:space="preserve">those occurring around the time of or shortly after listing. </w:t>
      </w:r>
      <w:r w:rsidR="008D2522" w:rsidRPr="00041066">
        <w:rPr>
          <w:rFonts w:ascii="Arial" w:hAnsi="Arial" w:cs="Arial"/>
          <w:sz w:val="20"/>
          <w:szCs w:val="20"/>
        </w:rPr>
        <w:t xml:space="preserve"> </w:t>
      </w:r>
      <w:r w:rsidR="00053CB5" w:rsidRPr="00041066">
        <w:rPr>
          <w:rFonts w:ascii="Arial" w:hAnsi="Arial" w:cs="Arial"/>
          <w:sz w:val="20"/>
          <w:szCs w:val="20"/>
        </w:rPr>
        <w:t xml:space="preserve"> </w:t>
      </w:r>
    </w:p>
    <w:p w14:paraId="68D2B33B" w14:textId="77777777" w:rsidR="0064462C" w:rsidRPr="00111D7A" w:rsidRDefault="00F24969" w:rsidP="00DA5E70">
      <w:pPr>
        <w:jc w:val="both"/>
        <w:rPr>
          <w:rFonts w:ascii="Arial" w:hAnsi="Arial" w:cs="Arial"/>
          <w:b/>
          <w:color w:val="FF0000"/>
          <w:sz w:val="20"/>
          <w:szCs w:val="20"/>
        </w:rPr>
      </w:pPr>
      <w:r w:rsidRPr="00111D7A">
        <w:rPr>
          <w:rFonts w:ascii="Arial" w:hAnsi="Arial" w:cs="Arial"/>
          <w:b/>
          <w:color w:val="FF0000"/>
          <w:sz w:val="20"/>
          <w:szCs w:val="20"/>
        </w:rPr>
        <w:t>“</w:t>
      </w:r>
      <w:r w:rsidR="001E5309" w:rsidRPr="00111D7A">
        <w:rPr>
          <w:rFonts w:ascii="Arial" w:hAnsi="Arial" w:cs="Arial"/>
          <w:b/>
          <w:color w:val="FF0000"/>
          <w:sz w:val="20"/>
          <w:szCs w:val="20"/>
        </w:rPr>
        <w:t>Partial Truth</w:t>
      </w:r>
      <w:r w:rsidRPr="00111D7A">
        <w:rPr>
          <w:rFonts w:ascii="Arial" w:hAnsi="Arial" w:cs="Arial"/>
          <w:b/>
          <w:color w:val="FF0000"/>
          <w:sz w:val="20"/>
          <w:szCs w:val="20"/>
        </w:rPr>
        <w:t>”</w:t>
      </w:r>
      <w:r w:rsidR="001E5309" w:rsidRPr="00111D7A">
        <w:rPr>
          <w:rFonts w:ascii="Arial" w:hAnsi="Arial" w:cs="Arial"/>
          <w:b/>
          <w:color w:val="FF0000"/>
          <w:sz w:val="20"/>
          <w:szCs w:val="20"/>
        </w:rPr>
        <w:t xml:space="preserve"> Disclosures</w:t>
      </w:r>
    </w:p>
    <w:p w14:paraId="7632CA54" w14:textId="77777777" w:rsidR="0064462C" w:rsidRPr="00041066" w:rsidRDefault="0064462C" w:rsidP="00DA5E70">
      <w:pPr>
        <w:jc w:val="both"/>
        <w:rPr>
          <w:rFonts w:ascii="Arial" w:hAnsi="Arial" w:cs="Arial"/>
          <w:sz w:val="20"/>
          <w:szCs w:val="20"/>
        </w:rPr>
      </w:pPr>
      <w:r w:rsidRPr="00041066">
        <w:rPr>
          <w:rFonts w:ascii="Arial" w:hAnsi="Arial" w:cs="Arial"/>
          <w:sz w:val="20"/>
          <w:szCs w:val="20"/>
        </w:rPr>
        <w:t xml:space="preserve">The HKEX underscores the importance of disclosures not being </w:t>
      </w:r>
      <w:r w:rsidR="00945ABA">
        <w:rPr>
          <w:rFonts w:ascii="Arial" w:hAnsi="Arial" w:cs="Arial"/>
          <w:sz w:val="20"/>
          <w:szCs w:val="20"/>
        </w:rPr>
        <w:t>“</w:t>
      </w:r>
      <w:r w:rsidRPr="00041066">
        <w:rPr>
          <w:rFonts w:ascii="Arial" w:hAnsi="Arial" w:cs="Arial"/>
          <w:sz w:val="20"/>
          <w:szCs w:val="20"/>
        </w:rPr>
        <w:t>passively</w:t>
      </w:r>
      <w:r w:rsidR="00945ABA">
        <w:rPr>
          <w:rFonts w:ascii="Arial" w:hAnsi="Arial" w:cs="Arial"/>
          <w:sz w:val="20"/>
          <w:szCs w:val="20"/>
        </w:rPr>
        <w:t>”</w:t>
      </w:r>
      <w:r w:rsidRPr="00041066">
        <w:rPr>
          <w:rFonts w:ascii="Arial" w:hAnsi="Arial" w:cs="Arial"/>
          <w:sz w:val="20"/>
          <w:szCs w:val="20"/>
        </w:rPr>
        <w:t xml:space="preserve"> or indirectly misleading. </w:t>
      </w:r>
      <w:r w:rsidR="00486856">
        <w:rPr>
          <w:rFonts w:ascii="Arial" w:hAnsi="Arial" w:cs="Arial"/>
          <w:sz w:val="20"/>
          <w:szCs w:val="20"/>
        </w:rPr>
        <w:t>An announcement</w:t>
      </w:r>
      <w:r w:rsidR="00105F2A" w:rsidRPr="00041066">
        <w:rPr>
          <w:rFonts w:ascii="Arial" w:hAnsi="Arial" w:cs="Arial"/>
          <w:sz w:val="20"/>
          <w:szCs w:val="20"/>
        </w:rPr>
        <w:t xml:space="preserve"> could</w:t>
      </w:r>
      <w:r w:rsidRPr="00041066">
        <w:rPr>
          <w:rFonts w:ascii="Arial" w:hAnsi="Arial" w:cs="Arial"/>
          <w:sz w:val="20"/>
          <w:szCs w:val="20"/>
        </w:rPr>
        <w:t xml:space="preserve"> </w:t>
      </w:r>
      <w:r w:rsidR="00486856">
        <w:rPr>
          <w:rFonts w:ascii="Arial" w:hAnsi="Arial" w:cs="Arial"/>
          <w:sz w:val="20"/>
          <w:szCs w:val="20"/>
        </w:rPr>
        <w:t xml:space="preserve">be regarded as </w:t>
      </w:r>
      <w:r w:rsidR="00945ABA">
        <w:rPr>
          <w:rFonts w:ascii="Arial" w:hAnsi="Arial" w:cs="Arial"/>
          <w:sz w:val="20"/>
          <w:szCs w:val="20"/>
        </w:rPr>
        <w:t>“</w:t>
      </w:r>
      <w:r w:rsidR="00486856">
        <w:rPr>
          <w:rFonts w:ascii="Arial" w:hAnsi="Arial" w:cs="Arial"/>
          <w:sz w:val="20"/>
          <w:szCs w:val="20"/>
        </w:rPr>
        <w:t>p</w:t>
      </w:r>
      <w:r w:rsidR="00486856" w:rsidRPr="00041066">
        <w:rPr>
          <w:rFonts w:ascii="Arial" w:hAnsi="Arial" w:cs="Arial"/>
          <w:sz w:val="20"/>
          <w:szCs w:val="20"/>
        </w:rPr>
        <w:t>assive</w:t>
      </w:r>
      <w:r w:rsidR="00486856">
        <w:rPr>
          <w:rFonts w:ascii="Arial" w:hAnsi="Arial" w:cs="Arial"/>
          <w:sz w:val="20"/>
          <w:szCs w:val="20"/>
        </w:rPr>
        <w:t>ly</w:t>
      </w:r>
      <w:r w:rsidR="00945ABA">
        <w:rPr>
          <w:rFonts w:ascii="Arial" w:hAnsi="Arial" w:cs="Arial"/>
          <w:sz w:val="20"/>
          <w:szCs w:val="20"/>
        </w:rPr>
        <w:t>”</w:t>
      </w:r>
      <w:r w:rsidR="00486856" w:rsidRPr="00041066">
        <w:rPr>
          <w:rFonts w:ascii="Arial" w:hAnsi="Arial" w:cs="Arial"/>
          <w:sz w:val="20"/>
          <w:szCs w:val="20"/>
        </w:rPr>
        <w:t xml:space="preserve"> or indirect</w:t>
      </w:r>
      <w:r w:rsidR="00486856">
        <w:rPr>
          <w:rFonts w:ascii="Arial" w:hAnsi="Arial" w:cs="Arial"/>
          <w:sz w:val="20"/>
          <w:szCs w:val="20"/>
        </w:rPr>
        <w:t>ly</w:t>
      </w:r>
      <w:r w:rsidR="00486856" w:rsidRPr="00041066">
        <w:rPr>
          <w:rFonts w:ascii="Arial" w:hAnsi="Arial" w:cs="Arial"/>
          <w:sz w:val="20"/>
          <w:szCs w:val="20"/>
        </w:rPr>
        <w:t xml:space="preserve"> misleading</w:t>
      </w:r>
      <w:r w:rsidRPr="00041066">
        <w:rPr>
          <w:rFonts w:ascii="Arial" w:hAnsi="Arial" w:cs="Arial"/>
          <w:sz w:val="20"/>
          <w:szCs w:val="20"/>
        </w:rPr>
        <w:t xml:space="preserve"> </w:t>
      </w:r>
      <w:r w:rsidR="00486856">
        <w:rPr>
          <w:rFonts w:ascii="Arial" w:hAnsi="Arial" w:cs="Arial"/>
          <w:sz w:val="20"/>
          <w:szCs w:val="20"/>
        </w:rPr>
        <w:t>when it</w:t>
      </w:r>
      <w:r w:rsidR="00AA55E2">
        <w:rPr>
          <w:rFonts w:ascii="Arial" w:hAnsi="Arial" w:cs="Arial"/>
          <w:sz w:val="20"/>
          <w:szCs w:val="20"/>
        </w:rPr>
        <w:t xml:space="preserve"> omits,</w:t>
      </w:r>
      <w:r w:rsidR="00945ABA">
        <w:rPr>
          <w:rFonts w:ascii="Arial" w:hAnsi="Arial" w:cs="Arial"/>
          <w:sz w:val="20"/>
          <w:szCs w:val="20"/>
        </w:rPr>
        <w:t xml:space="preserve"> buries</w:t>
      </w:r>
      <w:r w:rsidRPr="00041066">
        <w:rPr>
          <w:rFonts w:ascii="Arial" w:hAnsi="Arial" w:cs="Arial"/>
          <w:sz w:val="20"/>
          <w:szCs w:val="20"/>
        </w:rPr>
        <w:t xml:space="preserve"> or downplays material facts of an </w:t>
      </w:r>
      <w:proofErr w:type="spellStart"/>
      <w:r w:rsidRPr="00041066">
        <w:rPr>
          <w:rFonts w:ascii="Arial" w:hAnsi="Arial" w:cs="Arial"/>
          <w:sz w:val="20"/>
          <w:szCs w:val="20"/>
        </w:rPr>
        <w:t>unfavo</w:t>
      </w:r>
      <w:r w:rsidR="001E5309" w:rsidRPr="00041066">
        <w:rPr>
          <w:rFonts w:ascii="Arial" w:hAnsi="Arial" w:cs="Arial"/>
          <w:sz w:val="20"/>
          <w:szCs w:val="20"/>
        </w:rPr>
        <w:t>u</w:t>
      </w:r>
      <w:r w:rsidRPr="00041066">
        <w:rPr>
          <w:rFonts w:ascii="Arial" w:hAnsi="Arial" w:cs="Arial"/>
          <w:sz w:val="20"/>
          <w:szCs w:val="20"/>
        </w:rPr>
        <w:t>rable</w:t>
      </w:r>
      <w:proofErr w:type="spellEnd"/>
      <w:r w:rsidRPr="00041066">
        <w:rPr>
          <w:rFonts w:ascii="Arial" w:hAnsi="Arial" w:cs="Arial"/>
          <w:sz w:val="20"/>
          <w:szCs w:val="20"/>
        </w:rPr>
        <w:t xml:space="preserve"> nature</w:t>
      </w:r>
      <w:r w:rsidR="00945ABA">
        <w:rPr>
          <w:rFonts w:ascii="Arial" w:hAnsi="Arial" w:cs="Arial"/>
          <w:sz w:val="20"/>
          <w:szCs w:val="20"/>
        </w:rPr>
        <w:t>,</w:t>
      </w:r>
      <w:r w:rsidRPr="00041066">
        <w:rPr>
          <w:rFonts w:ascii="Arial" w:hAnsi="Arial" w:cs="Arial"/>
          <w:sz w:val="20"/>
          <w:szCs w:val="20"/>
        </w:rPr>
        <w:t xml:space="preserve"> or when </w:t>
      </w:r>
      <w:proofErr w:type="spellStart"/>
      <w:r w:rsidRPr="00041066">
        <w:rPr>
          <w:rFonts w:ascii="Arial" w:hAnsi="Arial" w:cs="Arial"/>
          <w:sz w:val="20"/>
          <w:szCs w:val="20"/>
        </w:rPr>
        <w:t>favo</w:t>
      </w:r>
      <w:r w:rsidR="001E5309" w:rsidRPr="00041066">
        <w:rPr>
          <w:rFonts w:ascii="Arial" w:hAnsi="Arial" w:cs="Arial"/>
          <w:sz w:val="20"/>
          <w:szCs w:val="20"/>
        </w:rPr>
        <w:t>u</w:t>
      </w:r>
      <w:r w:rsidRPr="00041066">
        <w:rPr>
          <w:rFonts w:ascii="Arial" w:hAnsi="Arial" w:cs="Arial"/>
          <w:sz w:val="20"/>
          <w:szCs w:val="20"/>
        </w:rPr>
        <w:t>rable</w:t>
      </w:r>
      <w:proofErr w:type="spellEnd"/>
      <w:r w:rsidRPr="00041066">
        <w:rPr>
          <w:rFonts w:ascii="Arial" w:hAnsi="Arial" w:cs="Arial"/>
          <w:sz w:val="20"/>
          <w:szCs w:val="20"/>
        </w:rPr>
        <w:t xml:space="preserve"> possibilities are presented as more probable than they really are. </w:t>
      </w:r>
      <w:r w:rsidR="00AA55E2">
        <w:rPr>
          <w:rFonts w:ascii="Arial" w:hAnsi="Arial" w:cs="Arial"/>
          <w:sz w:val="20"/>
          <w:szCs w:val="20"/>
        </w:rPr>
        <w:t xml:space="preserve">The HKEX </w:t>
      </w:r>
      <w:r w:rsidR="00945ABA">
        <w:rPr>
          <w:rFonts w:ascii="Arial" w:hAnsi="Arial" w:cs="Arial"/>
          <w:sz w:val="20"/>
          <w:szCs w:val="20"/>
        </w:rPr>
        <w:t xml:space="preserve">gives the </w:t>
      </w:r>
      <w:r w:rsidR="00AA55E2">
        <w:rPr>
          <w:rFonts w:ascii="Arial" w:hAnsi="Arial" w:cs="Arial"/>
          <w:sz w:val="20"/>
          <w:szCs w:val="20"/>
        </w:rPr>
        <w:t>following examples</w:t>
      </w:r>
      <w:r w:rsidRPr="00041066">
        <w:rPr>
          <w:rFonts w:ascii="Arial" w:hAnsi="Arial" w:cs="Arial"/>
          <w:sz w:val="20"/>
          <w:szCs w:val="20"/>
        </w:rPr>
        <w:t xml:space="preserve"> </w:t>
      </w:r>
      <w:r w:rsidR="00945ABA">
        <w:rPr>
          <w:rFonts w:ascii="Arial" w:hAnsi="Arial" w:cs="Arial"/>
          <w:sz w:val="20"/>
          <w:szCs w:val="20"/>
        </w:rPr>
        <w:t xml:space="preserve">of situations in which the omission of </w:t>
      </w:r>
      <w:r w:rsidRPr="00041066">
        <w:rPr>
          <w:rFonts w:ascii="Arial" w:hAnsi="Arial" w:cs="Arial"/>
          <w:sz w:val="20"/>
          <w:szCs w:val="20"/>
        </w:rPr>
        <w:t>information</w:t>
      </w:r>
      <w:r w:rsidR="00945ABA">
        <w:rPr>
          <w:rFonts w:ascii="Arial" w:hAnsi="Arial" w:cs="Arial"/>
          <w:sz w:val="20"/>
          <w:szCs w:val="20"/>
        </w:rPr>
        <w:t xml:space="preserve"> could result in an announcement giving</w:t>
      </w:r>
      <w:r w:rsidRPr="00041066">
        <w:rPr>
          <w:rFonts w:ascii="Arial" w:hAnsi="Arial" w:cs="Arial"/>
          <w:sz w:val="20"/>
          <w:szCs w:val="20"/>
        </w:rPr>
        <w:t xml:space="preserve"> a </w:t>
      </w:r>
      <w:r w:rsidR="00AA55E2">
        <w:rPr>
          <w:rFonts w:ascii="Arial" w:hAnsi="Arial" w:cs="Arial"/>
          <w:sz w:val="20"/>
          <w:szCs w:val="20"/>
        </w:rPr>
        <w:t xml:space="preserve">misleading picture to investors: </w:t>
      </w:r>
    </w:p>
    <w:p w14:paraId="1588E7F0" w14:textId="77777777" w:rsidR="001E1535" w:rsidRDefault="006027DF" w:rsidP="00DA5E70">
      <w:pPr>
        <w:pStyle w:val="a4"/>
        <w:numPr>
          <w:ilvl w:val="0"/>
          <w:numId w:val="7"/>
        </w:numPr>
        <w:jc w:val="both"/>
        <w:rPr>
          <w:rFonts w:ascii="Arial" w:hAnsi="Arial" w:cs="Arial"/>
          <w:sz w:val="20"/>
          <w:szCs w:val="20"/>
        </w:rPr>
      </w:pPr>
      <w:r>
        <w:rPr>
          <w:rFonts w:ascii="Arial" w:hAnsi="Arial" w:cs="Arial"/>
          <w:sz w:val="20"/>
          <w:szCs w:val="20"/>
        </w:rPr>
        <w:t>a</w:t>
      </w:r>
      <w:r w:rsidR="004040AB" w:rsidRPr="00041066">
        <w:rPr>
          <w:rFonts w:ascii="Arial" w:hAnsi="Arial" w:cs="Arial"/>
          <w:sz w:val="20"/>
          <w:szCs w:val="20"/>
        </w:rPr>
        <w:t>n announcement</w:t>
      </w:r>
      <w:r w:rsidR="00FE3079" w:rsidRPr="00041066">
        <w:rPr>
          <w:rFonts w:ascii="Arial" w:hAnsi="Arial" w:cs="Arial"/>
          <w:sz w:val="20"/>
          <w:szCs w:val="20"/>
        </w:rPr>
        <w:t xml:space="preserve"> </w:t>
      </w:r>
      <w:r>
        <w:rPr>
          <w:rFonts w:ascii="Arial" w:hAnsi="Arial" w:cs="Arial"/>
          <w:sz w:val="20"/>
          <w:szCs w:val="20"/>
        </w:rPr>
        <w:t xml:space="preserve">presenting only </w:t>
      </w:r>
      <w:r w:rsidR="0064462C" w:rsidRPr="00041066">
        <w:rPr>
          <w:rFonts w:ascii="Arial" w:hAnsi="Arial" w:cs="Arial"/>
          <w:sz w:val="20"/>
          <w:szCs w:val="20"/>
        </w:rPr>
        <w:t>the promising future of a newly acquired business, w</w:t>
      </w:r>
      <w:r w:rsidR="001E1535" w:rsidRPr="00041066">
        <w:rPr>
          <w:rFonts w:ascii="Arial" w:hAnsi="Arial" w:cs="Arial"/>
          <w:sz w:val="20"/>
          <w:szCs w:val="20"/>
        </w:rPr>
        <w:t>ithout mentioning the need for certain</w:t>
      </w:r>
      <w:r w:rsidR="0064462C" w:rsidRPr="00041066">
        <w:rPr>
          <w:rFonts w:ascii="Arial" w:hAnsi="Arial" w:cs="Arial"/>
          <w:sz w:val="20"/>
          <w:szCs w:val="20"/>
        </w:rPr>
        <w:t xml:space="preserve"> go</w:t>
      </w:r>
      <w:r w:rsidR="001E1535" w:rsidRPr="00041066">
        <w:rPr>
          <w:rFonts w:ascii="Arial" w:hAnsi="Arial" w:cs="Arial"/>
          <w:sz w:val="20"/>
          <w:szCs w:val="20"/>
        </w:rPr>
        <w:t>vernment approvals that are known to be</w:t>
      </w:r>
      <w:r w:rsidR="004040AB" w:rsidRPr="00041066">
        <w:rPr>
          <w:rFonts w:ascii="Arial" w:hAnsi="Arial" w:cs="Arial"/>
          <w:sz w:val="20"/>
          <w:szCs w:val="20"/>
        </w:rPr>
        <w:t xml:space="preserve"> difficult to obtain; and </w:t>
      </w:r>
    </w:p>
    <w:p w14:paraId="4036998F" w14:textId="77777777" w:rsidR="00AA55E2" w:rsidRPr="00041066" w:rsidRDefault="00AA55E2" w:rsidP="00DA5E70">
      <w:pPr>
        <w:pStyle w:val="a4"/>
        <w:jc w:val="both"/>
        <w:rPr>
          <w:rFonts w:ascii="Arial" w:hAnsi="Arial" w:cs="Arial"/>
          <w:sz w:val="20"/>
          <w:szCs w:val="20"/>
        </w:rPr>
      </w:pPr>
    </w:p>
    <w:p w14:paraId="09ADE5B5" w14:textId="77777777" w:rsidR="0064462C" w:rsidRPr="00041066" w:rsidRDefault="00FE3079" w:rsidP="00DA5E70">
      <w:pPr>
        <w:pStyle w:val="a4"/>
        <w:numPr>
          <w:ilvl w:val="0"/>
          <w:numId w:val="7"/>
        </w:numPr>
        <w:jc w:val="both"/>
        <w:rPr>
          <w:rFonts w:ascii="Arial" w:hAnsi="Arial" w:cs="Arial"/>
          <w:sz w:val="20"/>
          <w:szCs w:val="20"/>
        </w:rPr>
      </w:pPr>
      <w:r w:rsidRPr="00041066">
        <w:rPr>
          <w:rFonts w:ascii="Arial" w:hAnsi="Arial" w:cs="Arial"/>
          <w:sz w:val="20"/>
          <w:szCs w:val="20"/>
        </w:rPr>
        <w:t>a</w:t>
      </w:r>
      <w:r w:rsidR="004040AB" w:rsidRPr="00041066">
        <w:rPr>
          <w:rFonts w:ascii="Arial" w:hAnsi="Arial" w:cs="Arial"/>
          <w:sz w:val="20"/>
          <w:szCs w:val="20"/>
        </w:rPr>
        <w:t xml:space="preserve">n announcement </w:t>
      </w:r>
      <w:r w:rsidR="006027DF">
        <w:rPr>
          <w:rFonts w:ascii="Arial" w:hAnsi="Arial" w:cs="Arial"/>
          <w:sz w:val="20"/>
          <w:szCs w:val="20"/>
        </w:rPr>
        <w:t>attributing</w:t>
      </w:r>
      <w:r w:rsidR="0064462C" w:rsidRPr="00041066">
        <w:rPr>
          <w:rFonts w:ascii="Arial" w:hAnsi="Arial" w:cs="Arial"/>
          <w:sz w:val="20"/>
          <w:szCs w:val="20"/>
        </w:rPr>
        <w:t xml:space="preserve"> a delay in</w:t>
      </w:r>
      <w:r w:rsidR="00E43C39" w:rsidRPr="00041066">
        <w:rPr>
          <w:rFonts w:ascii="Arial" w:hAnsi="Arial" w:cs="Arial"/>
          <w:sz w:val="20"/>
          <w:szCs w:val="20"/>
        </w:rPr>
        <w:t xml:space="preserve"> </w:t>
      </w:r>
      <w:r w:rsidR="00C4202F" w:rsidRPr="00041066">
        <w:rPr>
          <w:rFonts w:ascii="Arial" w:hAnsi="Arial" w:cs="Arial"/>
          <w:sz w:val="20"/>
          <w:szCs w:val="20"/>
        </w:rPr>
        <w:t>publishing</w:t>
      </w:r>
      <w:r w:rsidR="0064462C" w:rsidRPr="00041066">
        <w:rPr>
          <w:rFonts w:ascii="Arial" w:hAnsi="Arial" w:cs="Arial"/>
          <w:sz w:val="20"/>
          <w:szCs w:val="20"/>
        </w:rPr>
        <w:t xml:space="preserve"> audited results to external factors, </w:t>
      </w:r>
      <w:r w:rsidR="006027DF">
        <w:rPr>
          <w:rFonts w:ascii="Arial" w:hAnsi="Arial" w:cs="Arial"/>
          <w:sz w:val="20"/>
          <w:szCs w:val="20"/>
        </w:rPr>
        <w:t xml:space="preserve">e.g. </w:t>
      </w:r>
      <w:r w:rsidR="0064462C" w:rsidRPr="00041066">
        <w:rPr>
          <w:rFonts w:ascii="Arial" w:hAnsi="Arial" w:cs="Arial"/>
          <w:sz w:val="20"/>
          <w:szCs w:val="20"/>
        </w:rPr>
        <w:t xml:space="preserve">the Covid-19 pandemic, while </w:t>
      </w:r>
      <w:r w:rsidR="00C4202F" w:rsidRPr="00041066">
        <w:rPr>
          <w:rFonts w:ascii="Arial" w:hAnsi="Arial" w:cs="Arial"/>
          <w:sz w:val="20"/>
          <w:szCs w:val="20"/>
        </w:rPr>
        <w:t>concealing</w:t>
      </w:r>
      <w:r w:rsidR="0064462C" w:rsidRPr="00041066">
        <w:rPr>
          <w:rFonts w:ascii="Arial" w:hAnsi="Arial" w:cs="Arial"/>
          <w:sz w:val="20"/>
          <w:szCs w:val="20"/>
        </w:rPr>
        <w:t xml:space="preserve"> serious audit </w:t>
      </w:r>
      <w:r w:rsidR="00C4202F" w:rsidRPr="00041066">
        <w:rPr>
          <w:rFonts w:ascii="Arial" w:hAnsi="Arial" w:cs="Arial"/>
          <w:sz w:val="20"/>
          <w:szCs w:val="20"/>
        </w:rPr>
        <w:t>issue</w:t>
      </w:r>
      <w:r w:rsidR="0064462C" w:rsidRPr="00041066">
        <w:rPr>
          <w:rFonts w:ascii="Arial" w:hAnsi="Arial" w:cs="Arial"/>
          <w:sz w:val="20"/>
          <w:szCs w:val="20"/>
        </w:rPr>
        <w:t xml:space="preserve">s raised by </w:t>
      </w:r>
      <w:r w:rsidR="006027DF">
        <w:rPr>
          <w:rFonts w:ascii="Arial" w:hAnsi="Arial" w:cs="Arial"/>
          <w:sz w:val="20"/>
          <w:szCs w:val="20"/>
        </w:rPr>
        <w:t xml:space="preserve">the </w:t>
      </w:r>
      <w:r w:rsidR="0064462C" w:rsidRPr="00041066">
        <w:rPr>
          <w:rFonts w:ascii="Arial" w:hAnsi="Arial" w:cs="Arial"/>
          <w:sz w:val="20"/>
          <w:szCs w:val="20"/>
        </w:rPr>
        <w:t>auditors, which would have likely caused a delay regardless of external events.</w:t>
      </w:r>
    </w:p>
    <w:p w14:paraId="6F5213AA" w14:textId="77777777" w:rsidR="00A749C0" w:rsidRPr="00041066" w:rsidRDefault="00E43C39" w:rsidP="00DA5E70">
      <w:pPr>
        <w:jc w:val="both"/>
        <w:rPr>
          <w:rFonts w:ascii="Arial" w:hAnsi="Arial" w:cs="Arial"/>
          <w:sz w:val="20"/>
          <w:szCs w:val="20"/>
        </w:rPr>
      </w:pPr>
      <w:r w:rsidRPr="00041066">
        <w:rPr>
          <w:rFonts w:ascii="Arial" w:hAnsi="Arial" w:cs="Arial"/>
          <w:sz w:val="20"/>
          <w:szCs w:val="20"/>
        </w:rPr>
        <w:t xml:space="preserve">The HKEX reminds </w:t>
      </w:r>
      <w:r w:rsidR="006027DF">
        <w:rPr>
          <w:rFonts w:ascii="Arial" w:hAnsi="Arial" w:cs="Arial"/>
          <w:sz w:val="20"/>
          <w:szCs w:val="20"/>
        </w:rPr>
        <w:t>issuers and directors to</w:t>
      </w:r>
      <w:r w:rsidRPr="00041066">
        <w:rPr>
          <w:rFonts w:ascii="Arial" w:hAnsi="Arial" w:cs="Arial"/>
          <w:sz w:val="20"/>
          <w:szCs w:val="20"/>
        </w:rPr>
        <w:t xml:space="preserve"> avoid</w:t>
      </w:r>
      <w:r w:rsidR="006027DF">
        <w:rPr>
          <w:rFonts w:ascii="Arial" w:hAnsi="Arial" w:cs="Arial"/>
          <w:sz w:val="20"/>
          <w:szCs w:val="20"/>
        </w:rPr>
        <w:t xml:space="preserve"> including information in announcements which is misleading by omission</w:t>
      </w:r>
      <w:r w:rsidRPr="00041066">
        <w:rPr>
          <w:rFonts w:ascii="Arial" w:hAnsi="Arial" w:cs="Arial"/>
          <w:sz w:val="20"/>
          <w:szCs w:val="20"/>
        </w:rPr>
        <w:t xml:space="preserve">. </w:t>
      </w:r>
      <w:r w:rsidR="006027DF">
        <w:rPr>
          <w:rFonts w:ascii="Arial" w:hAnsi="Arial" w:cs="Arial"/>
          <w:sz w:val="20"/>
          <w:szCs w:val="20"/>
        </w:rPr>
        <w:t xml:space="preserve">It highlights </w:t>
      </w:r>
      <w:r w:rsidRPr="00041066">
        <w:rPr>
          <w:rFonts w:ascii="Arial" w:hAnsi="Arial" w:cs="Arial"/>
          <w:sz w:val="20"/>
          <w:szCs w:val="20"/>
        </w:rPr>
        <w:t>announcement</w:t>
      </w:r>
      <w:r w:rsidR="006027DF">
        <w:rPr>
          <w:rFonts w:ascii="Arial" w:hAnsi="Arial" w:cs="Arial"/>
          <w:sz w:val="20"/>
          <w:szCs w:val="20"/>
        </w:rPr>
        <w:t>s</w:t>
      </w:r>
      <w:r w:rsidRPr="00041066">
        <w:rPr>
          <w:rFonts w:ascii="Arial" w:hAnsi="Arial" w:cs="Arial"/>
          <w:sz w:val="20"/>
          <w:szCs w:val="20"/>
        </w:rPr>
        <w:t xml:space="preserve"> of resignations of </w:t>
      </w:r>
      <w:r w:rsidR="006027DF">
        <w:rPr>
          <w:rFonts w:ascii="Arial" w:hAnsi="Arial" w:cs="Arial"/>
          <w:sz w:val="20"/>
          <w:szCs w:val="20"/>
        </w:rPr>
        <w:t>issuer</w:t>
      </w:r>
      <w:r w:rsidR="00AA55E2">
        <w:rPr>
          <w:rFonts w:ascii="Arial" w:hAnsi="Arial" w:cs="Arial"/>
          <w:sz w:val="20"/>
          <w:szCs w:val="20"/>
        </w:rPr>
        <w:t>s</w:t>
      </w:r>
      <w:r w:rsidR="006027DF">
        <w:rPr>
          <w:rFonts w:ascii="Arial" w:hAnsi="Arial" w:cs="Arial"/>
          <w:sz w:val="20"/>
          <w:szCs w:val="20"/>
        </w:rPr>
        <w:t>’</w:t>
      </w:r>
      <w:r w:rsidR="00AA55E2">
        <w:rPr>
          <w:rFonts w:ascii="Arial" w:hAnsi="Arial" w:cs="Arial"/>
          <w:sz w:val="20"/>
          <w:szCs w:val="20"/>
        </w:rPr>
        <w:t xml:space="preserve"> </w:t>
      </w:r>
      <w:r w:rsidR="00BA04F7">
        <w:rPr>
          <w:rFonts w:ascii="Arial" w:hAnsi="Arial" w:cs="Arial"/>
          <w:sz w:val="20"/>
          <w:szCs w:val="20"/>
        </w:rPr>
        <w:t>director</w:t>
      </w:r>
      <w:r w:rsidR="006027DF">
        <w:rPr>
          <w:rFonts w:ascii="Arial" w:hAnsi="Arial" w:cs="Arial"/>
          <w:sz w:val="20"/>
          <w:szCs w:val="20"/>
        </w:rPr>
        <w:t>s</w:t>
      </w:r>
      <w:r w:rsidR="00BA04F7">
        <w:rPr>
          <w:rFonts w:ascii="Arial" w:hAnsi="Arial" w:cs="Arial"/>
          <w:sz w:val="20"/>
          <w:szCs w:val="20"/>
        </w:rPr>
        <w:t xml:space="preserve"> and auditor</w:t>
      </w:r>
      <w:r w:rsidR="006027DF">
        <w:rPr>
          <w:rFonts w:ascii="Arial" w:hAnsi="Arial" w:cs="Arial"/>
          <w:sz w:val="20"/>
          <w:szCs w:val="20"/>
        </w:rPr>
        <w:t>s</w:t>
      </w:r>
      <w:r w:rsidRPr="00041066">
        <w:rPr>
          <w:rFonts w:ascii="Arial" w:hAnsi="Arial" w:cs="Arial"/>
          <w:sz w:val="20"/>
          <w:szCs w:val="20"/>
        </w:rPr>
        <w:t xml:space="preserve"> as </w:t>
      </w:r>
      <w:r w:rsidR="006027DF">
        <w:rPr>
          <w:rFonts w:ascii="Arial" w:hAnsi="Arial" w:cs="Arial"/>
          <w:sz w:val="20"/>
          <w:szCs w:val="20"/>
        </w:rPr>
        <w:t>one example of announcements that are often misleading by omission.</w:t>
      </w:r>
      <w:r w:rsidRPr="00041066">
        <w:rPr>
          <w:rFonts w:ascii="Arial" w:hAnsi="Arial" w:cs="Arial"/>
          <w:sz w:val="20"/>
          <w:szCs w:val="20"/>
        </w:rPr>
        <w:t xml:space="preserve"> </w:t>
      </w:r>
    </w:p>
    <w:p w14:paraId="3AC94277" w14:textId="77777777" w:rsidR="00A749C0" w:rsidRPr="00111D7A" w:rsidRDefault="00111D7A" w:rsidP="00DA5E70">
      <w:pPr>
        <w:jc w:val="both"/>
        <w:rPr>
          <w:rFonts w:ascii="Arial" w:hAnsi="Arial" w:cs="Arial"/>
          <w:b/>
          <w:color w:val="FF0000"/>
          <w:sz w:val="20"/>
          <w:szCs w:val="20"/>
        </w:rPr>
      </w:pPr>
      <w:r w:rsidRPr="00111D7A">
        <w:rPr>
          <w:rFonts w:ascii="Arial" w:hAnsi="Arial" w:cs="Arial"/>
          <w:b/>
          <w:color w:val="FF0000"/>
          <w:sz w:val="20"/>
          <w:szCs w:val="20"/>
        </w:rPr>
        <w:t xml:space="preserve">Directors’ and Auditors’ </w:t>
      </w:r>
      <w:r w:rsidR="001E5309" w:rsidRPr="00111D7A">
        <w:rPr>
          <w:rFonts w:ascii="Arial" w:hAnsi="Arial" w:cs="Arial"/>
          <w:b/>
          <w:color w:val="FF0000"/>
          <w:sz w:val="20"/>
          <w:szCs w:val="20"/>
        </w:rPr>
        <w:t>Resignation Announcements</w:t>
      </w:r>
      <w:r w:rsidRPr="00111D7A">
        <w:rPr>
          <w:rFonts w:ascii="Arial" w:hAnsi="Arial" w:cs="Arial"/>
          <w:b/>
          <w:color w:val="FF0000"/>
          <w:sz w:val="20"/>
          <w:szCs w:val="20"/>
        </w:rPr>
        <w:t xml:space="preserve"> </w:t>
      </w:r>
    </w:p>
    <w:p w14:paraId="5607A3AC" w14:textId="405F7090" w:rsidR="00A749C0" w:rsidRPr="00041066" w:rsidRDefault="00A749C0" w:rsidP="00DA5E70">
      <w:pPr>
        <w:jc w:val="both"/>
        <w:rPr>
          <w:rFonts w:ascii="Arial" w:hAnsi="Arial" w:cs="Arial"/>
          <w:sz w:val="20"/>
          <w:szCs w:val="20"/>
        </w:rPr>
      </w:pPr>
      <w:r w:rsidRPr="00041066">
        <w:rPr>
          <w:rFonts w:ascii="Arial" w:hAnsi="Arial" w:cs="Arial"/>
          <w:sz w:val="20"/>
          <w:szCs w:val="20"/>
        </w:rPr>
        <w:t>The HKEX observes that it is</w:t>
      </w:r>
      <w:r w:rsidR="00DF1449" w:rsidRPr="00041066">
        <w:rPr>
          <w:rFonts w:ascii="Arial" w:hAnsi="Arial" w:cs="Arial"/>
          <w:sz w:val="20"/>
          <w:szCs w:val="20"/>
        </w:rPr>
        <w:t xml:space="preserve"> </w:t>
      </w:r>
      <w:r w:rsidRPr="00041066">
        <w:rPr>
          <w:rFonts w:ascii="Arial" w:hAnsi="Arial" w:cs="Arial"/>
          <w:sz w:val="20"/>
          <w:szCs w:val="20"/>
        </w:rPr>
        <w:t xml:space="preserve">common practice </w:t>
      </w:r>
      <w:r w:rsidR="00B61ABE">
        <w:rPr>
          <w:rFonts w:ascii="Arial" w:hAnsi="Arial" w:cs="Arial"/>
          <w:sz w:val="20"/>
          <w:szCs w:val="20"/>
        </w:rPr>
        <w:t xml:space="preserve">for directors’ </w:t>
      </w:r>
      <w:r w:rsidRPr="00041066">
        <w:rPr>
          <w:rFonts w:ascii="Arial" w:hAnsi="Arial" w:cs="Arial"/>
          <w:sz w:val="20"/>
          <w:szCs w:val="20"/>
        </w:rPr>
        <w:t xml:space="preserve">resignation announcements </w:t>
      </w:r>
      <w:r w:rsidR="00B61ABE">
        <w:rPr>
          <w:rFonts w:ascii="Arial" w:hAnsi="Arial" w:cs="Arial"/>
          <w:sz w:val="20"/>
          <w:szCs w:val="20"/>
        </w:rPr>
        <w:t>to cite personal reasons or</w:t>
      </w:r>
      <w:r w:rsidRPr="00041066">
        <w:rPr>
          <w:rFonts w:ascii="Arial" w:hAnsi="Arial" w:cs="Arial"/>
          <w:sz w:val="20"/>
          <w:szCs w:val="20"/>
        </w:rPr>
        <w:t xml:space="preserve"> </w:t>
      </w:r>
      <w:r w:rsidR="001E5309" w:rsidRPr="00041066">
        <w:rPr>
          <w:rFonts w:ascii="Arial" w:hAnsi="Arial" w:cs="Arial"/>
          <w:sz w:val="20"/>
          <w:szCs w:val="20"/>
        </w:rPr>
        <w:t xml:space="preserve">the </w:t>
      </w:r>
      <w:r w:rsidRPr="00041066">
        <w:rPr>
          <w:rFonts w:ascii="Arial" w:hAnsi="Arial" w:cs="Arial"/>
          <w:sz w:val="20"/>
          <w:szCs w:val="20"/>
        </w:rPr>
        <w:t xml:space="preserve">pursuit of other </w:t>
      </w:r>
      <w:proofErr w:type="spellStart"/>
      <w:r w:rsidRPr="00041066">
        <w:rPr>
          <w:rFonts w:ascii="Arial" w:hAnsi="Arial" w:cs="Arial"/>
          <w:sz w:val="20"/>
          <w:szCs w:val="20"/>
        </w:rPr>
        <w:t>endeavo</w:t>
      </w:r>
      <w:r w:rsidR="001E5309" w:rsidRPr="00041066">
        <w:rPr>
          <w:rFonts w:ascii="Arial" w:hAnsi="Arial" w:cs="Arial"/>
          <w:sz w:val="20"/>
          <w:szCs w:val="20"/>
        </w:rPr>
        <w:t>u</w:t>
      </w:r>
      <w:r w:rsidRPr="00041066">
        <w:rPr>
          <w:rFonts w:ascii="Arial" w:hAnsi="Arial" w:cs="Arial"/>
          <w:sz w:val="20"/>
          <w:szCs w:val="20"/>
        </w:rPr>
        <w:t>rs</w:t>
      </w:r>
      <w:proofErr w:type="spellEnd"/>
      <w:r w:rsidR="00B61ABE">
        <w:rPr>
          <w:rFonts w:ascii="Arial" w:hAnsi="Arial" w:cs="Arial"/>
          <w:sz w:val="20"/>
          <w:szCs w:val="20"/>
        </w:rPr>
        <w:t xml:space="preserve"> as the reason for resignation. Similarly, announcements of auditors</w:t>
      </w:r>
      <w:r w:rsidR="0012252A">
        <w:rPr>
          <w:rFonts w:ascii="Arial" w:hAnsi="Arial" w:cs="Arial"/>
          <w:sz w:val="20"/>
          <w:szCs w:val="20"/>
        </w:rPr>
        <w:t>’</w:t>
      </w:r>
      <w:r w:rsidR="00B61ABE">
        <w:rPr>
          <w:rFonts w:ascii="Arial" w:hAnsi="Arial" w:cs="Arial"/>
          <w:sz w:val="20"/>
          <w:szCs w:val="20"/>
        </w:rPr>
        <w:t xml:space="preserve"> resignation often give an inability to agree</w:t>
      </w:r>
      <w:r w:rsidR="00DF2295">
        <w:rPr>
          <w:rFonts w:ascii="Arial" w:hAnsi="Arial" w:cs="Arial"/>
          <w:sz w:val="20"/>
          <w:szCs w:val="20"/>
        </w:rPr>
        <w:t xml:space="preserve"> on</w:t>
      </w:r>
      <w:r w:rsidR="00B61ABE">
        <w:rPr>
          <w:rFonts w:ascii="Arial" w:hAnsi="Arial" w:cs="Arial"/>
          <w:sz w:val="20"/>
          <w:szCs w:val="20"/>
        </w:rPr>
        <w:t xml:space="preserve"> the </w:t>
      </w:r>
      <w:r w:rsidRPr="00041066">
        <w:rPr>
          <w:rFonts w:ascii="Arial" w:hAnsi="Arial" w:cs="Arial"/>
          <w:sz w:val="20"/>
          <w:szCs w:val="20"/>
        </w:rPr>
        <w:t xml:space="preserve">audit fees as </w:t>
      </w:r>
      <w:r w:rsidR="00B61ABE">
        <w:rPr>
          <w:rFonts w:ascii="Arial" w:hAnsi="Arial" w:cs="Arial"/>
          <w:sz w:val="20"/>
          <w:szCs w:val="20"/>
        </w:rPr>
        <w:t>the reason</w:t>
      </w:r>
      <w:r w:rsidR="008B2B9C" w:rsidRPr="00041066">
        <w:rPr>
          <w:rFonts w:ascii="Arial" w:hAnsi="Arial" w:cs="Arial"/>
          <w:sz w:val="20"/>
          <w:szCs w:val="20"/>
        </w:rPr>
        <w:t xml:space="preserve"> </w:t>
      </w:r>
      <w:r w:rsidRPr="00041066">
        <w:rPr>
          <w:rFonts w:ascii="Arial" w:hAnsi="Arial" w:cs="Arial"/>
          <w:sz w:val="20"/>
          <w:szCs w:val="20"/>
        </w:rPr>
        <w:t xml:space="preserve">for </w:t>
      </w:r>
      <w:r w:rsidR="008B2B9C" w:rsidRPr="00041066">
        <w:rPr>
          <w:rFonts w:ascii="Arial" w:hAnsi="Arial" w:cs="Arial"/>
          <w:sz w:val="20"/>
          <w:szCs w:val="20"/>
        </w:rPr>
        <w:t>resignation</w:t>
      </w:r>
      <w:r w:rsidR="00DF1449" w:rsidRPr="00041066">
        <w:rPr>
          <w:rFonts w:ascii="Arial" w:hAnsi="Arial" w:cs="Arial"/>
          <w:sz w:val="20"/>
          <w:szCs w:val="20"/>
        </w:rPr>
        <w:t xml:space="preserve">. While </w:t>
      </w:r>
      <w:r w:rsidR="00B61ABE">
        <w:rPr>
          <w:rFonts w:ascii="Arial" w:hAnsi="Arial" w:cs="Arial"/>
          <w:sz w:val="20"/>
          <w:szCs w:val="20"/>
        </w:rPr>
        <w:t xml:space="preserve">these </w:t>
      </w:r>
      <w:r w:rsidRPr="00041066">
        <w:rPr>
          <w:rFonts w:ascii="Arial" w:hAnsi="Arial" w:cs="Arial"/>
          <w:sz w:val="20"/>
          <w:szCs w:val="20"/>
        </w:rPr>
        <w:t>disclosures</w:t>
      </w:r>
      <w:r w:rsidR="00B61ABE">
        <w:rPr>
          <w:rFonts w:ascii="Arial" w:hAnsi="Arial" w:cs="Arial"/>
          <w:sz w:val="20"/>
          <w:szCs w:val="20"/>
        </w:rPr>
        <w:t xml:space="preserve"> are sometimes appropriate</w:t>
      </w:r>
      <w:r w:rsidR="00105F2A" w:rsidRPr="00041066">
        <w:rPr>
          <w:rFonts w:ascii="Arial" w:hAnsi="Arial" w:cs="Arial"/>
          <w:sz w:val="20"/>
          <w:szCs w:val="20"/>
        </w:rPr>
        <w:t xml:space="preserve">, they </w:t>
      </w:r>
      <w:r w:rsidRPr="00041066">
        <w:rPr>
          <w:rFonts w:ascii="Arial" w:hAnsi="Arial" w:cs="Arial"/>
          <w:sz w:val="20"/>
          <w:szCs w:val="20"/>
        </w:rPr>
        <w:t xml:space="preserve">sometimes conceal </w:t>
      </w:r>
      <w:r w:rsidR="008B2B9C" w:rsidRPr="00041066">
        <w:rPr>
          <w:rFonts w:ascii="Arial" w:hAnsi="Arial" w:cs="Arial"/>
          <w:sz w:val="20"/>
          <w:szCs w:val="20"/>
        </w:rPr>
        <w:t>important</w:t>
      </w:r>
      <w:r w:rsidRPr="00041066">
        <w:rPr>
          <w:rFonts w:ascii="Arial" w:hAnsi="Arial" w:cs="Arial"/>
          <w:sz w:val="20"/>
          <w:szCs w:val="20"/>
        </w:rPr>
        <w:t xml:space="preserve"> information that investors should be aw</w:t>
      </w:r>
      <w:r w:rsidR="008B2B9C" w:rsidRPr="00041066">
        <w:rPr>
          <w:rFonts w:ascii="Arial" w:hAnsi="Arial" w:cs="Arial"/>
          <w:sz w:val="20"/>
          <w:szCs w:val="20"/>
        </w:rPr>
        <w:t>are of. For example, a director’</w:t>
      </w:r>
      <w:r w:rsidRPr="00041066">
        <w:rPr>
          <w:rFonts w:ascii="Arial" w:hAnsi="Arial" w:cs="Arial"/>
          <w:sz w:val="20"/>
          <w:szCs w:val="20"/>
        </w:rPr>
        <w:t xml:space="preserve">s resignation might stem from unresolved disputes with the board over </w:t>
      </w:r>
      <w:r w:rsidR="00B61ABE">
        <w:rPr>
          <w:rFonts w:ascii="Arial" w:hAnsi="Arial" w:cs="Arial"/>
          <w:sz w:val="20"/>
          <w:szCs w:val="20"/>
        </w:rPr>
        <w:t xml:space="preserve">a </w:t>
      </w:r>
      <w:r w:rsidRPr="00041066">
        <w:rPr>
          <w:rFonts w:ascii="Arial" w:hAnsi="Arial" w:cs="Arial"/>
          <w:sz w:val="20"/>
          <w:szCs w:val="20"/>
        </w:rPr>
        <w:t>corp</w:t>
      </w:r>
      <w:r w:rsidR="008B2B9C" w:rsidRPr="00041066">
        <w:rPr>
          <w:rFonts w:ascii="Arial" w:hAnsi="Arial" w:cs="Arial"/>
          <w:sz w:val="20"/>
          <w:szCs w:val="20"/>
        </w:rPr>
        <w:t>orate governance</w:t>
      </w:r>
      <w:r w:rsidR="00B61ABE">
        <w:rPr>
          <w:rFonts w:ascii="Arial" w:hAnsi="Arial" w:cs="Arial"/>
          <w:sz w:val="20"/>
          <w:szCs w:val="20"/>
        </w:rPr>
        <w:t xml:space="preserve"> matter</w:t>
      </w:r>
      <w:r w:rsidR="008B2B9C" w:rsidRPr="00041066">
        <w:rPr>
          <w:rFonts w:ascii="Arial" w:hAnsi="Arial" w:cs="Arial"/>
          <w:sz w:val="20"/>
          <w:szCs w:val="20"/>
        </w:rPr>
        <w:t xml:space="preserve">, or </w:t>
      </w:r>
      <w:r w:rsidR="00D2105F">
        <w:rPr>
          <w:rFonts w:ascii="Arial" w:hAnsi="Arial" w:cs="Arial"/>
          <w:sz w:val="20"/>
          <w:szCs w:val="20"/>
        </w:rPr>
        <w:t>an</w:t>
      </w:r>
      <w:r w:rsidR="00B61ABE">
        <w:rPr>
          <w:rFonts w:ascii="Arial" w:hAnsi="Arial" w:cs="Arial"/>
          <w:sz w:val="20"/>
          <w:szCs w:val="20"/>
        </w:rPr>
        <w:t xml:space="preserve"> inability to agree</w:t>
      </w:r>
      <w:r w:rsidR="00DF2295">
        <w:rPr>
          <w:rFonts w:ascii="Arial" w:hAnsi="Arial" w:cs="Arial"/>
          <w:sz w:val="20"/>
          <w:szCs w:val="20"/>
        </w:rPr>
        <w:t xml:space="preserve"> on</w:t>
      </w:r>
      <w:r w:rsidR="00B61ABE">
        <w:rPr>
          <w:rFonts w:ascii="Arial" w:hAnsi="Arial" w:cs="Arial"/>
          <w:sz w:val="20"/>
          <w:szCs w:val="20"/>
        </w:rPr>
        <w:t xml:space="preserve"> the audit fee may be due </w:t>
      </w:r>
      <w:r w:rsidRPr="00041066">
        <w:rPr>
          <w:rFonts w:ascii="Arial" w:hAnsi="Arial" w:cs="Arial"/>
          <w:sz w:val="20"/>
          <w:szCs w:val="20"/>
        </w:rPr>
        <w:t xml:space="preserve">to </w:t>
      </w:r>
      <w:r w:rsidR="008B2B9C" w:rsidRPr="00041066">
        <w:rPr>
          <w:rFonts w:ascii="Arial" w:hAnsi="Arial" w:cs="Arial"/>
          <w:sz w:val="20"/>
          <w:szCs w:val="20"/>
        </w:rPr>
        <w:t>the issuer’</w:t>
      </w:r>
      <w:r w:rsidRPr="00041066">
        <w:rPr>
          <w:rFonts w:ascii="Arial" w:hAnsi="Arial" w:cs="Arial"/>
          <w:sz w:val="20"/>
          <w:szCs w:val="20"/>
        </w:rPr>
        <w:t>s unwillingne</w:t>
      </w:r>
      <w:r w:rsidR="008B2B9C" w:rsidRPr="00041066">
        <w:rPr>
          <w:rFonts w:ascii="Arial" w:hAnsi="Arial" w:cs="Arial"/>
          <w:sz w:val="20"/>
          <w:szCs w:val="20"/>
        </w:rPr>
        <w:t>ss to address high-risk, problematic areas of concern in the audit</w:t>
      </w:r>
      <w:r w:rsidRPr="00041066">
        <w:rPr>
          <w:rFonts w:ascii="Arial" w:hAnsi="Arial" w:cs="Arial"/>
          <w:sz w:val="20"/>
          <w:szCs w:val="20"/>
        </w:rPr>
        <w:t xml:space="preserve">. In </w:t>
      </w:r>
      <w:r w:rsidR="001D2D00" w:rsidRPr="00041066">
        <w:rPr>
          <w:rFonts w:ascii="Arial" w:hAnsi="Arial" w:cs="Arial"/>
          <w:sz w:val="20"/>
          <w:szCs w:val="20"/>
        </w:rPr>
        <w:t>these</w:t>
      </w:r>
      <w:r w:rsidRPr="00041066">
        <w:rPr>
          <w:rFonts w:ascii="Arial" w:hAnsi="Arial" w:cs="Arial"/>
          <w:sz w:val="20"/>
          <w:szCs w:val="20"/>
        </w:rPr>
        <w:t xml:space="preserve"> situations, announcements that only </w:t>
      </w:r>
      <w:r w:rsidR="00B61ABE">
        <w:rPr>
          <w:rFonts w:ascii="Arial" w:hAnsi="Arial" w:cs="Arial"/>
          <w:sz w:val="20"/>
          <w:szCs w:val="20"/>
        </w:rPr>
        <w:t xml:space="preserve">disclose the </w:t>
      </w:r>
      <w:r w:rsidR="00105F2A" w:rsidRPr="00041066">
        <w:rPr>
          <w:rFonts w:ascii="Arial" w:hAnsi="Arial" w:cs="Arial"/>
          <w:sz w:val="20"/>
          <w:szCs w:val="20"/>
        </w:rPr>
        <w:t xml:space="preserve">superficial reasons </w:t>
      </w:r>
      <w:r w:rsidR="00D2105F">
        <w:rPr>
          <w:rFonts w:ascii="Arial" w:hAnsi="Arial" w:cs="Arial"/>
          <w:sz w:val="20"/>
          <w:szCs w:val="20"/>
        </w:rPr>
        <w:t>for resignation</w:t>
      </w:r>
      <w:r w:rsidR="00B61ABE">
        <w:rPr>
          <w:rFonts w:ascii="Arial" w:hAnsi="Arial" w:cs="Arial"/>
          <w:sz w:val="20"/>
          <w:szCs w:val="20"/>
        </w:rPr>
        <w:t xml:space="preserve"> may be </w:t>
      </w:r>
      <w:r w:rsidRPr="00041066">
        <w:rPr>
          <w:rFonts w:ascii="Arial" w:hAnsi="Arial" w:cs="Arial"/>
          <w:sz w:val="20"/>
          <w:szCs w:val="20"/>
        </w:rPr>
        <w:t>misleading or deceptive.</w:t>
      </w:r>
    </w:p>
    <w:p w14:paraId="7E1EF285" w14:textId="77777777" w:rsidR="004646FE" w:rsidRPr="00111D7A" w:rsidRDefault="004646FE" w:rsidP="00DA5E70">
      <w:pPr>
        <w:jc w:val="both"/>
        <w:rPr>
          <w:rFonts w:ascii="Arial" w:hAnsi="Arial" w:cs="Arial"/>
          <w:b/>
          <w:sz w:val="20"/>
          <w:szCs w:val="20"/>
        </w:rPr>
      </w:pPr>
      <w:r w:rsidRPr="00111D7A">
        <w:rPr>
          <w:rFonts w:ascii="Arial" w:hAnsi="Arial" w:cs="Arial"/>
          <w:b/>
          <w:sz w:val="20"/>
          <w:szCs w:val="20"/>
        </w:rPr>
        <w:t>Director</w:t>
      </w:r>
      <w:r w:rsidR="00744871" w:rsidRPr="00111D7A">
        <w:rPr>
          <w:rFonts w:ascii="Arial" w:hAnsi="Arial" w:cs="Arial"/>
          <w:b/>
          <w:sz w:val="20"/>
          <w:szCs w:val="20"/>
        </w:rPr>
        <w:t>s</w:t>
      </w:r>
      <w:r w:rsidR="00111D7A">
        <w:rPr>
          <w:rFonts w:ascii="Arial" w:hAnsi="Arial" w:cs="Arial"/>
          <w:b/>
          <w:sz w:val="20"/>
          <w:szCs w:val="20"/>
        </w:rPr>
        <w:t>’</w:t>
      </w:r>
      <w:r w:rsidRPr="00111D7A">
        <w:rPr>
          <w:rFonts w:ascii="Arial" w:hAnsi="Arial" w:cs="Arial"/>
          <w:b/>
          <w:sz w:val="20"/>
          <w:szCs w:val="20"/>
        </w:rPr>
        <w:t xml:space="preserve"> Resignation </w:t>
      </w:r>
    </w:p>
    <w:p w14:paraId="044ACDE2" w14:textId="77777777" w:rsidR="005C4105" w:rsidRPr="00041066" w:rsidRDefault="00725D71" w:rsidP="00DA5E70">
      <w:pPr>
        <w:jc w:val="both"/>
        <w:rPr>
          <w:rFonts w:ascii="Arial" w:hAnsi="Arial" w:cs="Arial"/>
          <w:sz w:val="20"/>
          <w:szCs w:val="20"/>
        </w:rPr>
      </w:pPr>
      <w:r>
        <w:rPr>
          <w:rFonts w:ascii="Arial" w:hAnsi="Arial" w:cs="Arial"/>
          <w:sz w:val="20"/>
          <w:szCs w:val="20"/>
        </w:rPr>
        <w:t>T</w:t>
      </w:r>
      <w:r w:rsidR="00A749C0" w:rsidRPr="00041066">
        <w:rPr>
          <w:rFonts w:ascii="Arial" w:hAnsi="Arial" w:cs="Arial"/>
          <w:sz w:val="20"/>
          <w:szCs w:val="20"/>
        </w:rPr>
        <w:t xml:space="preserve">he </w:t>
      </w:r>
      <w:r>
        <w:rPr>
          <w:rFonts w:ascii="Arial" w:hAnsi="Arial" w:cs="Arial"/>
          <w:sz w:val="20"/>
          <w:szCs w:val="20"/>
        </w:rPr>
        <w:t xml:space="preserve">HKEX </w:t>
      </w:r>
      <w:r w:rsidR="00A749C0" w:rsidRPr="00041066">
        <w:rPr>
          <w:rFonts w:ascii="Arial" w:hAnsi="Arial" w:cs="Arial"/>
          <w:sz w:val="20"/>
          <w:szCs w:val="20"/>
        </w:rPr>
        <w:t>Listing Rules require issuers to announc</w:t>
      </w:r>
      <w:r w:rsidR="00BB19DB" w:rsidRPr="00041066">
        <w:rPr>
          <w:rFonts w:ascii="Arial" w:hAnsi="Arial" w:cs="Arial"/>
          <w:sz w:val="20"/>
          <w:szCs w:val="20"/>
        </w:rPr>
        <w:t xml:space="preserve">e the resignation </w:t>
      </w:r>
      <w:r>
        <w:rPr>
          <w:rFonts w:ascii="Arial" w:hAnsi="Arial" w:cs="Arial"/>
          <w:sz w:val="20"/>
          <w:szCs w:val="20"/>
        </w:rPr>
        <w:t xml:space="preserve">of a director </w:t>
      </w:r>
      <w:r w:rsidR="00BB19DB" w:rsidRPr="00041066">
        <w:rPr>
          <w:rFonts w:ascii="Arial" w:hAnsi="Arial" w:cs="Arial"/>
          <w:sz w:val="20"/>
          <w:szCs w:val="20"/>
        </w:rPr>
        <w:t xml:space="preserve">and </w:t>
      </w:r>
      <w:r>
        <w:rPr>
          <w:rFonts w:ascii="Arial" w:hAnsi="Arial" w:cs="Arial"/>
          <w:sz w:val="20"/>
          <w:szCs w:val="20"/>
        </w:rPr>
        <w:t>to disclose in the announcement the</w:t>
      </w:r>
      <w:r w:rsidR="001E5309" w:rsidRPr="00041066">
        <w:rPr>
          <w:rFonts w:ascii="Arial" w:hAnsi="Arial" w:cs="Arial"/>
          <w:sz w:val="20"/>
          <w:szCs w:val="20"/>
        </w:rPr>
        <w:t xml:space="preserve"> </w:t>
      </w:r>
      <w:r w:rsidR="00BB19DB" w:rsidRPr="00041066">
        <w:rPr>
          <w:rFonts w:ascii="Arial" w:hAnsi="Arial" w:cs="Arial"/>
          <w:sz w:val="20"/>
          <w:szCs w:val="20"/>
        </w:rPr>
        <w:t>reason</w:t>
      </w:r>
      <w:r>
        <w:rPr>
          <w:rFonts w:ascii="Arial" w:hAnsi="Arial" w:cs="Arial"/>
          <w:sz w:val="20"/>
          <w:szCs w:val="20"/>
        </w:rPr>
        <w:t>s</w:t>
      </w:r>
      <w:r w:rsidR="00BB19DB" w:rsidRPr="00041066">
        <w:rPr>
          <w:rFonts w:ascii="Arial" w:hAnsi="Arial" w:cs="Arial"/>
          <w:sz w:val="20"/>
          <w:szCs w:val="20"/>
        </w:rPr>
        <w:t xml:space="preserve"> for </w:t>
      </w:r>
      <w:r>
        <w:rPr>
          <w:rFonts w:ascii="Arial" w:hAnsi="Arial" w:cs="Arial"/>
          <w:sz w:val="20"/>
          <w:szCs w:val="20"/>
        </w:rPr>
        <w:t xml:space="preserve">the resignation </w:t>
      </w:r>
      <w:r w:rsidR="007430A8">
        <w:rPr>
          <w:rFonts w:ascii="Arial" w:hAnsi="Arial" w:cs="Arial"/>
          <w:sz w:val="20"/>
          <w:szCs w:val="20"/>
        </w:rPr>
        <w:t xml:space="preserve">and a statement as to whether or not there are any matters that need to be brought </w:t>
      </w:r>
      <w:r w:rsidR="007430A8" w:rsidRPr="00041066">
        <w:rPr>
          <w:rFonts w:ascii="Arial" w:hAnsi="Arial" w:cs="Arial"/>
          <w:sz w:val="20"/>
          <w:szCs w:val="20"/>
        </w:rPr>
        <w:t>to the</w:t>
      </w:r>
      <w:r w:rsidR="00A749C0" w:rsidRPr="00041066">
        <w:rPr>
          <w:rFonts w:ascii="Arial" w:hAnsi="Arial" w:cs="Arial"/>
          <w:sz w:val="20"/>
          <w:szCs w:val="20"/>
        </w:rPr>
        <w:t xml:space="preserve"> </w:t>
      </w:r>
      <w:r w:rsidR="007430A8" w:rsidRPr="00041066">
        <w:rPr>
          <w:rFonts w:ascii="Arial" w:hAnsi="Arial" w:cs="Arial"/>
          <w:sz w:val="20"/>
          <w:szCs w:val="20"/>
        </w:rPr>
        <w:t xml:space="preserve">attention </w:t>
      </w:r>
      <w:r w:rsidR="007430A8">
        <w:rPr>
          <w:rFonts w:ascii="Arial" w:hAnsi="Arial" w:cs="Arial"/>
          <w:sz w:val="20"/>
          <w:szCs w:val="20"/>
        </w:rPr>
        <w:t xml:space="preserve">of the holders of the issuer’s securities </w:t>
      </w:r>
      <w:r w:rsidR="00A749C0" w:rsidRPr="00041066">
        <w:rPr>
          <w:rFonts w:ascii="Arial" w:hAnsi="Arial" w:cs="Arial"/>
          <w:sz w:val="20"/>
          <w:szCs w:val="20"/>
        </w:rPr>
        <w:t>(</w:t>
      </w:r>
      <w:r>
        <w:rPr>
          <w:rFonts w:ascii="Arial" w:hAnsi="Arial" w:cs="Arial"/>
          <w:sz w:val="20"/>
          <w:szCs w:val="20"/>
        </w:rPr>
        <w:t xml:space="preserve">HKEX </w:t>
      </w:r>
      <w:r w:rsidR="007430A8">
        <w:rPr>
          <w:rFonts w:ascii="Arial" w:hAnsi="Arial" w:cs="Arial"/>
          <w:sz w:val="20"/>
          <w:szCs w:val="20"/>
        </w:rPr>
        <w:t>Listing Rule 13.51). D</w:t>
      </w:r>
      <w:r w:rsidR="001E5309" w:rsidRPr="00041066">
        <w:rPr>
          <w:rFonts w:ascii="Arial" w:hAnsi="Arial" w:cs="Arial"/>
          <w:sz w:val="20"/>
          <w:szCs w:val="20"/>
        </w:rPr>
        <w:t>irector</w:t>
      </w:r>
      <w:r w:rsidR="007430A8">
        <w:rPr>
          <w:rFonts w:ascii="Arial" w:hAnsi="Arial" w:cs="Arial"/>
          <w:sz w:val="20"/>
          <w:szCs w:val="20"/>
        </w:rPr>
        <w:t>s</w:t>
      </w:r>
      <w:r w:rsidR="001E5309" w:rsidRPr="00041066">
        <w:rPr>
          <w:rFonts w:ascii="Arial" w:hAnsi="Arial" w:cs="Arial"/>
          <w:sz w:val="20"/>
          <w:szCs w:val="20"/>
        </w:rPr>
        <w:t xml:space="preserve"> </w:t>
      </w:r>
      <w:r w:rsidR="000B6F00" w:rsidRPr="00041066">
        <w:rPr>
          <w:rFonts w:ascii="Arial" w:hAnsi="Arial" w:cs="Arial"/>
          <w:sz w:val="20"/>
          <w:szCs w:val="20"/>
        </w:rPr>
        <w:t>also ha</w:t>
      </w:r>
      <w:r w:rsidR="007430A8">
        <w:rPr>
          <w:rFonts w:ascii="Arial" w:hAnsi="Arial" w:cs="Arial"/>
          <w:sz w:val="20"/>
          <w:szCs w:val="20"/>
        </w:rPr>
        <w:t>ve an</w:t>
      </w:r>
      <w:r w:rsidR="000B6F00" w:rsidRPr="00041066">
        <w:rPr>
          <w:rFonts w:ascii="Arial" w:hAnsi="Arial" w:cs="Arial"/>
          <w:sz w:val="20"/>
          <w:szCs w:val="20"/>
        </w:rPr>
        <w:t xml:space="preserve"> obligation to ensure that</w:t>
      </w:r>
      <w:r w:rsidR="00A749C0" w:rsidRPr="00041066">
        <w:rPr>
          <w:rFonts w:ascii="Arial" w:hAnsi="Arial" w:cs="Arial"/>
          <w:sz w:val="20"/>
          <w:szCs w:val="20"/>
        </w:rPr>
        <w:t xml:space="preserve"> the information </w:t>
      </w:r>
      <w:r w:rsidR="00BB19DB" w:rsidRPr="00041066">
        <w:rPr>
          <w:rFonts w:ascii="Arial" w:hAnsi="Arial" w:cs="Arial"/>
          <w:sz w:val="20"/>
          <w:szCs w:val="20"/>
        </w:rPr>
        <w:t>disclose</w:t>
      </w:r>
      <w:r w:rsidR="00A749C0" w:rsidRPr="00041066">
        <w:rPr>
          <w:rFonts w:ascii="Arial" w:hAnsi="Arial" w:cs="Arial"/>
          <w:sz w:val="20"/>
          <w:szCs w:val="20"/>
        </w:rPr>
        <w:t>d is both accurate and meaningful (</w:t>
      </w:r>
      <w:r w:rsidR="007430A8">
        <w:rPr>
          <w:rFonts w:ascii="Arial" w:hAnsi="Arial" w:cs="Arial"/>
          <w:sz w:val="20"/>
          <w:szCs w:val="20"/>
        </w:rPr>
        <w:t xml:space="preserve">HKEX </w:t>
      </w:r>
      <w:r w:rsidR="00A749C0" w:rsidRPr="00041066">
        <w:rPr>
          <w:rFonts w:ascii="Arial" w:hAnsi="Arial" w:cs="Arial"/>
          <w:sz w:val="20"/>
          <w:szCs w:val="20"/>
        </w:rPr>
        <w:t xml:space="preserve">Listing Rule 13.51C). </w:t>
      </w:r>
    </w:p>
    <w:p w14:paraId="44C90A6D" w14:textId="77777777" w:rsidR="00A749C0" w:rsidRPr="00041066" w:rsidRDefault="00A749C0" w:rsidP="00DA5E70">
      <w:pPr>
        <w:jc w:val="both"/>
        <w:rPr>
          <w:rFonts w:ascii="Arial" w:hAnsi="Arial" w:cs="Arial"/>
          <w:sz w:val="20"/>
          <w:szCs w:val="20"/>
        </w:rPr>
      </w:pPr>
      <w:r w:rsidRPr="00041066">
        <w:rPr>
          <w:rFonts w:ascii="Arial" w:hAnsi="Arial" w:cs="Arial"/>
          <w:sz w:val="20"/>
          <w:szCs w:val="20"/>
        </w:rPr>
        <w:t>T</w:t>
      </w:r>
      <w:r w:rsidR="00BB19DB" w:rsidRPr="00041066">
        <w:rPr>
          <w:rFonts w:ascii="Arial" w:hAnsi="Arial" w:cs="Arial"/>
          <w:sz w:val="20"/>
          <w:szCs w:val="20"/>
        </w:rPr>
        <w:t xml:space="preserve">he HKEX </w:t>
      </w:r>
      <w:r w:rsidR="0083301F" w:rsidRPr="00041066">
        <w:rPr>
          <w:rFonts w:ascii="Arial" w:hAnsi="Arial" w:cs="Arial"/>
          <w:sz w:val="20"/>
          <w:szCs w:val="20"/>
        </w:rPr>
        <w:t xml:space="preserve">reminds issuers and directors of the </w:t>
      </w:r>
      <w:hyperlink r:id="rId15" w:history="1">
        <w:r w:rsidR="0083301F" w:rsidRPr="00041066">
          <w:rPr>
            <w:rStyle w:val="a3"/>
            <w:rFonts w:ascii="Arial" w:hAnsi="Arial" w:cs="Arial"/>
            <w:sz w:val="20"/>
            <w:szCs w:val="20"/>
          </w:rPr>
          <w:t>joint news release</w:t>
        </w:r>
      </w:hyperlink>
      <w:r w:rsidR="0083301F" w:rsidRPr="00041066">
        <w:rPr>
          <w:rFonts w:ascii="Arial" w:hAnsi="Arial" w:cs="Arial"/>
          <w:sz w:val="20"/>
          <w:szCs w:val="20"/>
        </w:rPr>
        <w:t xml:space="preserve"> published by the HKEX and the Hong Kong Institute of Director</w:t>
      </w:r>
      <w:r w:rsidR="005C4105" w:rsidRPr="00041066">
        <w:rPr>
          <w:rFonts w:ascii="Arial" w:hAnsi="Arial" w:cs="Arial"/>
          <w:sz w:val="20"/>
          <w:szCs w:val="20"/>
        </w:rPr>
        <w:t>s</w:t>
      </w:r>
      <w:r w:rsidR="0083301F" w:rsidRPr="00041066">
        <w:rPr>
          <w:rFonts w:ascii="Arial" w:hAnsi="Arial" w:cs="Arial"/>
          <w:sz w:val="20"/>
          <w:szCs w:val="20"/>
        </w:rPr>
        <w:t xml:space="preserve"> in 2007</w:t>
      </w:r>
      <w:r w:rsidR="001E5309" w:rsidRPr="00041066">
        <w:rPr>
          <w:rFonts w:ascii="Arial" w:hAnsi="Arial" w:cs="Arial"/>
          <w:sz w:val="20"/>
          <w:szCs w:val="20"/>
        </w:rPr>
        <w:t>,</w:t>
      </w:r>
      <w:r w:rsidR="0083301F" w:rsidRPr="00041066">
        <w:rPr>
          <w:rFonts w:ascii="Arial" w:hAnsi="Arial" w:cs="Arial"/>
          <w:sz w:val="20"/>
          <w:szCs w:val="20"/>
        </w:rPr>
        <w:t xml:space="preserve"> </w:t>
      </w:r>
      <w:r w:rsidR="00575CC6">
        <w:rPr>
          <w:rFonts w:ascii="Arial" w:hAnsi="Arial" w:cs="Arial"/>
          <w:sz w:val="20"/>
          <w:szCs w:val="20"/>
        </w:rPr>
        <w:t>which clarified that</w:t>
      </w:r>
      <w:r w:rsidR="00BB19DB" w:rsidRPr="00041066">
        <w:rPr>
          <w:rFonts w:ascii="Arial" w:hAnsi="Arial" w:cs="Arial"/>
          <w:sz w:val="20"/>
          <w:szCs w:val="20"/>
        </w:rPr>
        <w:t xml:space="preserve"> the term “personal reasons”</w:t>
      </w:r>
      <w:r w:rsidRPr="00041066">
        <w:rPr>
          <w:rFonts w:ascii="Arial" w:hAnsi="Arial" w:cs="Arial"/>
          <w:sz w:val="20"/>
          <w:szCs w:val="20"/>
        </w:rPr>
        <w:t xml:space="preserve"> should be strictly limited </w:t>
      </w:r>
      <w:r w:rsidR="00BB19DB" w:rsidRPr="00041066">
        <w:rPr>
          <w:rFonts w:ascii="Arial" w:hAnsi="Arial" w:cs="Arial"/>
          <w:sz w:val="20"/>
          <w:szCs w:val="20"/>
        </w:rPr>
        <w:t xml:space="preserve">to illness, </w:t>
      </w:r>
      <w:r w:rsidR="007430A8">
        <w:rPr>
          <w:rFonts w:ascii="Arial" w:hAnsi="Arial" w:cs="Arial"/>
          <w:sz w:val="20"/>
          <w:szCs w:val="20"/>
        </w:rPr>
        <w:t>bereavement</w:t>
      </w:r>
      <w:r w:rsidRPr="00041066">
        <w:rPr>
          <w:rFonts w:ascii="Arial" w:hAnsi="Arial" w:cs="Arial"/>
          <w:sz w:val="20"/>
          <w:szCs w:val="20"/>
        </w:rPr>
        <w:t xml:space="preserve"> </w:t>
      </w:r>
      <w:r w:rsidR="00BB19DB" w:rsidRPr="00041066">
        <w:rPr>
          <w:rFonts w:ascii="Arial" w:hAnsi="Arial" w:cs="Arial"/>
          <w:sz w:val="20"/>
          <w:szCs w:val="20"/>
        </w:rPr>
        <w:t>or other genuine personal difficulties that change the director’s circumstances</w:t>
      </w:r>
      <w:r w:rsidR="007430A8">
        <w:rPr>
          <w:rFonts w:ascii="Arial" w:hAnsi="Arial" w:cs="Arial"/>
          <w:sz w:val="20"/>
          <w:szCs w:val="20"/>
        </w:rPr>
        <w:t>.</w:t>
      </w:r>
      <w:r w:rsidR="00BB19DB" w:rsidRPr="00041066">
        <w:rPr>
          <w:rFonts w:ascii="Arial" w:hAnsi="Arial" w:cs="Arial"/>
          <w:sz w:val="20"/>
          <w:szCs w:val="20"/>
        </w:rPr>
        <w:t xml:space="preserve"> </w:t>
      </w:r>
      <w:r w:rsidR="007430A8">
        <w:rPr>
          <w:rFonts w:ascii="Arial" w:hAnsi="Arial" w:cs="Arial"/>
          <w:sz w:val="20"/>
          <w:szCs w:val="20"/>
        </w:rPr>
        <w:t xml:space="preserve">The term </w:t>
      </w:r>
      <w:r w:rsidRPr="00041066">
        <w:rPr>
          <w:rFonts w:ascii="Arial" w:hAnsi="Arial" w:cs="Arial"/>
          <w:sz w:val="20"/>
          <w:szCs w:val="20"/>
        </w:rPr>
        <w:t xml:space="preserve">should not </w:t>
      </w:r>
      <w:r w:rsidR="007430A8">
        <w:rPr>
          <w:rFonts w:ascii="Arial" w:hAnsi="Arial" w:cs="Arial"/>
          <w:sz w:val="20"/>
          <w:szCs w:val="20"/>
        </w:rPr>
        <w:t>be used to refer to</w:t>
      </w:r>
      <w:r w:rsidRPr="00041066">
        <w:rPr>
          <w:rFonts w:ascii="Arial" w:hAnsi="Arial" w:cs="Arial"/>
          <w:sz w:val="20"/>
          <w:szCs w:val="20"/>
        </w:rPr>
        <w:t xml:space="preserve"> </w:t>
      </w:r>
      <w:r w:rsidR="00C71B79" w:rsidRPr="00041066">
        <w:rPr>
          <w:rFonts w:ascii="Arial" w:hAnsi="Arial" w:cs="Arial"/>
          <w:sz w:val="20"/>
          <w:szCs w:val="20"/>
        </w:rPr>
        <w:t xml:space="preserve">work-related schedules, disqualification of the director, detainment by the police or other authorities (including imprisonment) or change in the issuer’s circumstances. </w:t>
      </w:r>
    </w:p>
    <w:p w14:paraId="6FA1E1B2" w14:textId="77777777" w:rsidR="00A749C0" w:rsidRPr="00041066" w:rsidRDefault="0067748B" w:rsidP="00DA5E70">
      <w:pPr>
        <w:jc w:val="both"/>
        <w:rPr>
          <w:rFonts w:ascii="Arial" w:hAnsi="Arial" w:cs="Arial"/>
          <w:sz w:val="20"/>
          <w:szCs w:val="20"/>
        </w:rPr>
      </w:pPr>
      <w:r w:rsidRPr="00041066">
        <w:rPr>
          <w:rFonts w:ascii="Arial" w:hAnsi="Arial" w:cs="Arial"/>
          <w:sz w:val="20"/>
          <w:szCs w:val="20"/>
        </w:rPr>
        <w:lastRenderedPageBreak/>
        <w:t>The HKEX stresses that issuers and directors should not resort to partial truth</w:t>
      </w:r>
      <w:r w:rsidR="00A749C0" w:rsidRPr="00041066">
        <w:rPr>
          <w:rFonts w:ascii="Arial" w:hAnsi="Arial" w:cs="Arial"/>
          <w:sz w:val="20"/>
          <w:szCs w:val="20"/>
        </w:rPr>
        <w:t xml:space="preserve"> disclosures as a means </w:t>
      </w:r>
      <w:r w:rsidR="00BB3E00">
        <w:rPr>
          <w:rFonts w:ascii="Arial" w:hAnsi="Arial" w:cs="Arial"/>
          <w:sz w:val="20"/>
          <w:szCs w:val="20"/>
        </w:rPr>
        <w:t>to avoid</w:t>
      </w:r>
      <w:r w:rsidR="004D231B" w:rsidRPr="00041066">
        <w:rPr>
          <w:rFonts w:ascii="Arial" w:hAnsi="Arial" w:cs="Arial"/>
          <w:sz w:val="20"/>
          <w:szCs w:val="20"/>
        </w:rPr>
        <w:t xml:space="preserve"> address</w:t>
      </w:r>
      <w:r w:rsidR="00BB3E00">
        <w:rPr>
          <w:rFonts w:ascii="Arial" w:hAnsi="Arial" w:cs="Arial"/>
          <w:sz w:val="20"/>
          <w:szCs w:val="20"/>
        </w:rPr>
        <w:t>ing</w:t>
      </w:r>
      <w:r w:rsidR="004D231B" w:rsidRPr="00041066">
        <w:rPr>
          <w:rFonts w:ascii="Arial" w:hAnsi="Arial" w:cs="Arial"/>
          <w:sz w:val="20"/>
          <w:szCs w:val="20"/>
        </w:rPr>
        <w:t xml:space="preserve"> </w:t>
      </w:r>
      <w:r w:rsidR="00A749C0" w:rsidRPr="00041066">
        <w:rPr>
          <w:rFonts w:ascii="Arial" w:hAnsi="Arial" w:cs="Arial"/>
          <w:sz w:val="20"/>
          <w:szCs w:val="20"/>
        </w:rPr>
        <w:t xml:space="preserve">sensitive issues or </w:t>
      </w:r>
      <w:r w:rsidR="00BB3E00">
        <w:rPr>
          <w:rFonts w:ascii="Arial" w:hAnsi="Arial" w:cs="Arial"/>
          <w:sz w:val="20"/>
          <w:szCs w:val="20"/>
        </w:rPr>
        <w:t xml:space="preserve">as a </w:t>
      </w:r>
      <w:r w:rsidR="00A749C0" w:rsidRPr="00041066">
        <w:rPr>
          <w:rFonts w:ascii="Arial" w:hAnsi="Arial" w:cs="Arial"/>
          <w:sz w:val="20"/>
          <w:szCs w:val="20"/>
        </w:rPr>
        <w:t>delaying</w:t>
      </w:r>
      <w:r w:rsidR="00BB3E00">
        <w:rPr>
          <w:rFonts w:ascii="Arial" w:hAnsi="Arial" w:cs="Arial"/>
          <w:sz w:val="20"/>
          <w:szCs w:val="20"/>
        </w:rPr>
        <w:t xml:space="preserve"> tactic</w:t>
      </w:r>
      <w:r w:rsidR="00A749C0" w:rsidRPr="00041066">
        <w:rPr>
          <w:rFonts w:ascii="Arial" w:hAnsi="Arial" w:cs="Arial"/>
          <w:sz w:val="20"/>
          <w:szCs w:val="20"/>
        </w:rPr>
        <w:t>. In</w:t>
      </w:r>
      <w:r w:rsidRPr="00041066">
        <w:rPr>
          <w:rFonts w:ascii="Arial" w:hAnsi="Arial" w:cs="Arial"/>
          <w:sz w:val="20"/>
          <w:szCs w:val="20"/>
        </w:rPr>
        <w:t>complete</w:t>
      </w:r>
      <w:r w:rsidR="00A749C0" w:rsidRPr="00041066">
        <w:rPr>
          <w:rFonts w:ascii="Arial" w:hAnsi="Arial" w:cs="Arial"/>
          <w:sz w:val="20"/>
          <w:szCs w:val="20"/>
        </w:rPr>
        <w:t xml:space="preserve"> disclosures may result in disciplinary act</w:t>
      </w:r>
      <w:r w:rsidRPr="00041066">
        <w:rPr>
          <w:rFonts w:ascii="Arial" w:hAnsi="Arial" w:cs="Arial"/>
          <w:sz w:val="20"/>
          <w:szCs w:val="20"/>
        </w:rPr>
        <w:t xml:space="preserve">ion and public sanctions </w:t>
      </w:r>
      <w:r w:rsidR="00BB3E00">
        <w:rPr>
          <w:rFonts w:ascii="Arial" w:hAnsi="Arial" w:cs="Arial"/>
          <w:sz w:val="20"/>
          <w:szCs w:val="20"/>
        </w:rPr>
        <w:t xml:space="preserve">being </w:t>
      </w:r>
      <w:r w:rsidR="00D12066" w:rsidRPr="00041066">
        <w:rPr>
          <w:rFonts w:ascii="Arial" w:hAnsi="Arial" w:cs="Arial"/>
          <w:sz w:val="20"/>
          <w:szCs w:val="20"/>
        </w:rPr>
        <w:t xml:space="preserve">imposed by </w:t>
      </w:r>
      <w:r w:rsidRPr="00041066">
        <w:rPr>
          <w:rFonts w:ascii="Arial" w:hAnsi="Arial" w:cs="Arial"/>
          <w:sz w:val="20"/>
          <w:szCs w:val="20"/>
        </w:rPr>
        <w:t>the H</w:t>
      </w:r>
      <w:r w:rsidR="004D231B" w:rsidRPr="00041066">
        <w:rPr>
          <w:rFonts w:ascii="Arial" w:hAnsi="Arial" w:cs="Arial"/>
          <w:sz w:val="20"/>
          <w:szCs w:val="20"/>
        </w:rPr>
        <w:t>K</w:t>
      </w:r>
      <w:r w:rsidRPr="00041066">
        <w:rPr>
          <w:rFonts w:ascii="Arial" w:hAnsi="Arial" w:cs="Arial"/>
          <w:sz w:val="20"/>
          <w:szCs w:val="20"/>
        </w:rPr>
        <w:t>EX</w:t>
      </w:r>
      <w:r w:rsidR="00A749C0" w:rsidRPr="00041066">
        <w:rPr>
          <w:rFonts w:ascii="Arial" w:hAnsi="Arial" w:cs="Arial"/>
          <w:sz w:val="20"/>
          <w:szCs w:val="20"/>
        </w:rPr>
        <w:t xml:space="preserve">. Resigning directors </w:t>
      </w:r>
      <w:r w:rsidRPr="00041066">
        <w:rPr>
          <w:rFonts w:ascii="Arial" w:hAnsi="Arial" w:cs="Arial"/>
          <w:sz w:val="20"/>
          <w:szCs w:val="20"/>
        </w:rPr>
        <w:t>should also raise</w:t>
      </w:r>
      <w:r w:rsidR="00A749C0" w:rsidRPr="00041066">
        <w:rPr>
          <w:rFonts w:ascii="Arial" w:hAnsi="Arial" w:cs="Arial"/>
          <w:sz w:val="20"/>
          <w:szCs w:val="20"/>
        </w:rPr>
        <w:t xml:space="preserve"> any concer</w:t>
      </w:r>
      <w:r w:rsidRPr="00041066">
        <w:rPr>
          <w:rFonts w:ascii="Arial" w:hAnsi="Arial" w:cs="Arial"/>
          <w:sz w:val="20"/>
          <w:szCs w:val="20"/>
        </w:rPr>
        <w:t>ns they have if the issuer’s</w:t>
      </w:r>
      <w:r w:rsidR="00A749C0" w:rsidRPr="00041066">
        <w:rPr>
          <w:rFonts w:ascii="Arial" w:hAnsi="Arial" w:cs="Arial"/>
          <w:sz w:val="20"/>
          <w:szCs w:val="20"/>
        </w:rPr>
        <w:t xml:space="preserve"> announcement does not align with their understanding of the situation or the reasons provided for their resignation</w:t>
      </w:r>
      <w:r w:rsidRPr="00041066">
        <w:rPr>
          <w:rFonts w:ascii="Arial" w:hAnsi="Arial" w:cs="Arial"/>
          <w:sz w:val="20"/>
          <w:szCs w:val="20"/>
        </w:rPr>
        <w:t xml:space="preserve">. </w:t>
      </w:r>
      <w:r w:rsidR="00BB3E00">
        <w:rPr>
          <w:rFonts w:ascii="Arial" w:hAnsi="Arial" w:cs="Arial"/>
          <w:sz w:val="20"/>
          <w:szCs w:val="20"/>
        </w:rPr>
        <w:t>These concerns should be raised with the issuer</w:t>
      </w:r>
      <w:r w:rsidR="00744871">
        <w:rPr>
          <w:rFonts w:ascii="Arial" w:hAnsi="Arial" w:cs="Arial"/>
          <w:sz w:val="20"/>
          <w:szCs w:val="20"/>
        </w:rPr>
        <w:t xml:space="preserve"> in the first instance</w:t>
      </w:r>
      <w:r w:rsidR="00BB3E00">
        <w:rPr>
          <w:rFonts w:ascii="Arial" w:hAnsi="Arial" w:cs="Arial"/>
          <w:sz w:val="20"/>
          <w:szCs w:val="20"/>
        </w:rPr>
        <w:t>, and if they remain unresolved, with the HKEX.</w:t>
      </w:r>
    </w:p>
    <w:p w14:paraId="305C4B4C" w14:textId="77777777" w:rsidR="004646FE" w:rsidRPr="00111D7A" w:rsidRDefault="004646FE" w:rsidP="00DA5E70">
      <w:pPr>
        <w:jc w:val="both"/>
        <w:rPr>
          <w:rFonts w:ascii="Arial" w:hAnsi="Arial" w:cs="Arial"/>
          <w:b/>
          <w:sz w:val="20"/>
          <w:szCs w:val="20"/>
        </w:rPr>
      </w:pPr>
      <w:r w:rsidRPr="00111D7A">
        <w:rPr>
          <w:rFonts w:ascii="Arial" w:hAnsi="Arial" w:cs="Arial"/>
          <w:b/>
          <w:sz w:val="20"/>
          <w:szCs w:val="20"/>
        </w:rPr>
        <w:t>Auditor</w:t>
      </w:r>
      <w:r w:rsidR="0012252A" w:rsidRPr="00111D7A">
        <w:rPr>
          <w:rFonts w:ascii="Arial" w:hAnsi="Arial" w:cs="Arial"/>
          <w:b/>
          <w:sz w:val="20"/>
          <w:szCs w:val="20"/>
        </w:rPr>
        <w:t>s’</w:t>
      </w:r>
      <w:r w:rsidRPr="00111D7A">
        <w:rPr>
          <w:rFonts w:ascii="Arial" w:hAnsi="Arial" w:cs="Arial"/>
          <w:b/>
          <w:sz w:val="20"/>
          <w:szCs w:val="20"/>
        </w:rPr>
        <w:t xml:space="preserve"> Resignation </w:t>
      </w:r>
    </w:p>
    <w:p w14:paraId="5FC17029" w14:textId="77777777" w:rsidR="0067748B" w:rsidRPr="00041066" w:rsidRDefault="0067748B" w:rsidP="00DA5E70">
      <w:pPr>
        <w:jc w:val="both"/>
        <w:rPr>
          <w:rFonts w:ascii="Arial" w:hAnsi="Arial" w:cs="Arial"/>
          <w:sz w:val="20"/>
          <w:szCs w:val="20"/>
        </w:rPr>
      </w:pPr>
      <w:r w:rsidRPr="00041066">
        <w:rPr>
          <w:rFonts w:ascii="Arial" w:hAnsi="Arial" w:cs="Arial"/>
          <w:sz w:val="20"/>
          <w:szCs w:val="20"/>
        </w:rPr>
        <w:t>Sim</w:t>
      </w:r>
      <w:r w:rsidR="00575CC6">
        <w:rPr>
          <w:rFonts w:ascii="Arial" w:hAnsi="Arial" w:cs="Arial"/>
          <w:sz w:val="20"/>
          <w:szCs w:val="20"/>
        </w:rPr>
        <w:t xml:space="preserve">ilarly, </w:t>
      </w:r>
      <w:r w:rsidR="002B1C88">
        <w:rPr>
          <w:rFonts w:ascii="Arial" w:hAnsi="Arial" w:cs="Arial"/>
          <w:sz w:val="20"/>
          <w:szCs w:val="20"/>
        </w:rPr>
        <w:t xml:space="preserve">the HKEX notes that an announcement of </w:t>
      </w:r>
      <w:r w:rsidR="0012252A">
        <w:rPr>
          <w:rFonts w:ascii="Arial" w:hAnsi="Arial" w:cs="Arial"/>
          <w:sz w:val="20"/>
          <w:szCs w:val="20"/>
        </w:rPr>
        <w:t xml:space="preserve">the </w:t>
      </w:r>
      <w:r w:rsidR="00575CC6">
        <w:rPr>
          <w:rFonts w:ascii="Arial" w:hAnsi="Arial" w:cs="Arial"/>
          <w:sz w:val="20"/>
          <w:szCs w:val="20"/>
        </w:rPr>
        <w:t>resignation</w:t>
      </w:r>
      <w:r w:rsidR="0012252A">
        <w:rPr>
          <w:rFonts w:ascii="Arial" w:hAnsi="Arial" w:cs="Arial"/>
          <w:sz w:val="20"/>
          <w:szCs w:val="20"/>
        </w:rPr>
        <w:t xml:space="preserve"> of an issuer’s auditors</w:t>
      </w:r>
      <w:r w:rsidRPr="00041066">
        <w:rPr>
          <w:rFonts w:ascii="Arial" w:hAnsi="Arial" w:cs="Arial"/>
          <w:sz w:val="20"/>
          <w:szCs w:val="20"/>
        </w:rPr>
        <w:t xml:space="preserve"> should not </w:t>
      </w:r>
      <w:r w:rsidR="00744871">
        <w:rPr>
          <w:rFonts w:ascii="Arial" w:hAnsi="Arial" w:cs="Arial"/>
          <w:sz w:val="20"/>
          <w:szCs w:val="20"/>
        </w:rPr>
        <w:t xml:space="preserve">simply cite disagreement over </w:t>
      </w:r>
      <w:r w:rsidR="00744871" w:rsidRPr="00041066">
        <w:rPr>
          <w:rFonts w:ascii="Arial" w:hAnsi="Arial" w:cs="Arial"/>
          <w:sz w:val="20"/>
          <w:szCs w:val="20"/>
        </w:rPr>
        <w:t>audit procedures or audit fees</w:t>
      </w:r>
      <w:r w:rsidR="00744871">
        <w:rPr>
          <w:rFonts w:ascii="Arial" w:hAnsi="Arial" w:cs="Arial"/>
          <w:sz w:val="20"/>
          <w:szCs w:val="20"/>
        </w:rPr>
        <w:t xml:space="preserve"> as the reason for resignation if there are other </w:t>
      </w:r>
      <w:r w:rsidR="005862CB" w:rsidRPr="00041066">
        <w:rPr>
          <w:rFonts w:ascii="Arial" w:hAnsi="Arial" w:cs="Arial"/>
          <w:sz w:val="20"/>
          <w:szCs w:val="20"/>
        </w:rPr>
        <w:t>material</w:t>
      </w:r>
      <w:r w:rsidRPr="00041066">
        <w:rPr>
          <w:rFonts w:ascii="Arial" w:hAnsi="Arial" w:cs="Arial"/>
          <w:sz w:val="20"/>
          <w:szCs w:val="20"/>
        </w:rPr>
        <w:t xml:space="preserve"> issues </w:t>
      </w:r>
      <w:r w:rsidR="008C69EE">
        <w:rPr>
          <w:rFonts w:ascii="Arial" w:hAnsi="Arial" w:cs="Arial"/>
          <w:sz w:val="20"/>
          <w:szCs w:val="20"/>
        </w:rPr>
        <w:t>that le</w:t>
      </w:r>
      <w:r w:rsidR="00744871">
        <w:rPr>
          <w:rFonts w:ascii="Arial" w:hAnsi="Arial" w:cs="Arial"/>
          <w:sz w:val="20"/>
          <w:szCs w:val="20"/>
        </w:rPr>
        <w:t>d to the auditor</w:t>
      </w:r>
      <w:r w:rsidRPr="00041066">
        <w:rPr>
          <w:rFonts w:ascii="Arial" w:hAnsi="Arial" w:cs="Arial"/>
          <w:sz w:val="20"/>
          <w:szCs w:val="20"/>
        </w:rPr>
        <w:t>s</w:t>
      </w:r>
      <w:r w:rsidR="00744871">
        <w:rPr>
          <w:rFonts w:ascii="Arial" w:hAnsi="Arial" w:cs="Arial"/>
          <w:sz w:val="20"/>
          <w:szCs w:val="20"/>
        </w:rPr>
        <w:t>’</w:t>
      </w:r>
      <w:r w:rsidRPr="00041066">
        <w:rPr>
          <w:rFonts w:ascii="Arial" w:hAnsi="Arial" w:cs="Arial"/>
          <w:sz w:val="20"/>
          <w:szCs w:val="20"/>
        </w:rPr>
        <w:t xml:space="preserve"> resignation. </w:t>
      </w:r>
    </w:p>
    <w:p w14:paraId="1AF8AEA9" w14:textId="20F96DD5" w:rsidR="0067748B" w:rsidRPr="008E770A" w:rsidRDefault="00A02509" w:rsidP="00DA5E70">
      <w:pPr>
        <w:jc w:val="both"/>
        <w:rPr>
          <w:rFonts w:ascii="Arial" w:hAnsi="Arial" w:cs="Arial"/>
          <w:sz w:val="20"/>
          <w:szCs w:val="20"/>
        </w:rPr>
      </w:pPr>
      <w:r w:rsidRPr="00041066">
        <w:rPr>
          <w:rFonts w:ascii="Arial" w:hAnsi="Arial" w:cs="Arial"/>
          <w:sz w:val="20"/>
          <w:szCs w:val="20"/>
        </w:rPr>
        <w:t>The HKEX refers to its</w:t>
      </w:r>
      <w:r w:rsidR="0067748B" w:rsidRPr="00041066">
        <w:rPr>
          <w:rFonts w:ascii="Arial" w:hAnsi="Arial" w:cs="Arial"/>
          <w:sz w:val="20"/>
          <w:szCs w:val="20"/>
        </w:rPr>
        <w:t xml:space="preserve"> </w:t>
      </w:r>
      <w:hyperlink r:id="rId16" w:history="1">
        <w:r w:rsidR="0067748B" w:rsidRPr="00041066">
          <w:rPr>
            <w:rStyle w:val="a3"/>
            <w:rFonts w:ascii="Arial" w:hAnsi="Arial" w:cs="Arial"/>
            <w:sz w:val="20"/>
            <w:szCs w:val="20"/>
          </w:rPr>
          <w:t>Listed Issuer Regulation Newsletter</w:t>
        </w:r>
      </w:hyperlink>
      <w:r w:rsidR="0067748B" w:rsidRPr="00041066">
        <w:rPr>
          <w:rFonts w:ascii="Arial" w:hAnsi="Arial" w:cs="Arial"/>
          <w:sz w:val="20"/>
          <w:szCs w:val="20"/>
        </w:rPr>
        <w:t xml:space="preserve"> </w:t>
      </w:r>
      <w:r w:rsidRPr="00041066">
        <w:rPr>
          <w:rFonts w:ascii="Arial" w:hAnsi="Arial" w:cs="Arial"/>
          <w:sz w:val="20"/>
          <w:szCs w:val="20"/>
        </w:rPr>
        <w:t>published</w:t>
      </w:r>
      <w:r w:rsidR="0067748B" w:rsidRPr="00041066">
        <w:rPr>
          <w:rFonts w:ascii="Arial" w:hAnsi="Arial" w:cs="Arial"/>
          <w:sz w:val="20"/>
          <w:szCs w:val="20"/>
        </w:rPr>
        <w:t xml:space="preserve"> in December 2022</w:t>
      </w:r>
      <w:r w:rsidRPr="00041066">
        <w:rPr>
          <w:rFonts w:ascii="Arial" w:hAnsi="Arial" w:cs="Arial"/>
          <w:sz w:val="20"/>
          <w:szCs w:val="20"/>
        </w:rPr>
        <w:t xml:space="preserve"> </w:t>
      </w:r>
      <w:r w:rsidR="00744871">
        <w:rPr>
          <w:rFonts w:ascii="Arial" w:hAnsi="Arial" w:cs="Arial"/>
          <w:sz w:val="20"/>
          <w:szCs w:val="20"/>
        </w:rPr>
        <w:t xml:space="preserve">which </w:t>
      </w:r>
      <w:r w:rsidR="0067748B" w:rsidRPr="00041066">
        <w:rPr>
          <w:rFonts w:ascii="Arial" w:hAnsi="Arial" w:cs="Arial"/>
          <w:sz w:val="20"/>
          <w:szCs w:val="20"/>
        </w:rPr>
        <w:t>remin</w:t>
      </w:r>
      <w:r w:rsidRPr="00041066">
        <w:rPr>
          <w:rFonts w:ascii="Arial" w:hAnsi="Arial" w:cs="Arial"/>
          <w:sz w:val="20"/>
          <w:szCs w:val="20"/>
        </w:rPr>
        <w:t>d</w:t>
      </w:r>
      <w:r w:rsidR="00744871">
        <w:rPr>
          <w:rFonts w:ascii="Arial" w:hAnsi="Arial" w:cs="Arial"/>
          <w:sz w:val="20"/>
          <w:szCs w:val="20"/>
        </w:rPr>
        <w:t>ed</w:t>
      </w:r>
      <w:r w:rsidRPr="00041066">
        <w:rPr>
          <w:rFonts w:ascii="Arial" w:hAnsi="Arial" w:cs="Arial"/>
          <w:sz w:val="20"/>
          <w:szCs w:val="20"/>
        </w:rPr>
        <w:t xml:space="preserve"> audit committees</w:t>
      </w:r>
      <w:r w:rsidR="0067748B" w:rsidRPr="00041066">
        <w:rPr>
          <w:rFonts w:ascii="Arial" w:hAnsi="Arial" w:cs="Arial"/>
          <w:sz w:val="20"/>
          <w:szCs w:val="20"/>
        </w:rPr>
        <w:t xml:space="preserve"> of their resp</w:t>
      </w:r>
      <w:r w:rsidR="00744871">
        <w:rPr>
          <w:rFonts w:ascii="Arial" w:hAnsi="Arial" w:cs="Arial"/>
          <w:sz w:val="20"/>
          <w:szCs w:val="20"/>
        </w:rPr>
        <w:t>onsibility to ensure that auditor</w:t>
      </w:r>
      <w:r w:rsidR="0067748B" w:rsidRPr="00041066">
        <w:rPr>
          <w:rFonts w:ascii="Arial" w:hAnsi="Arial" w:cs="Arial"/>
          <w:sz w:val="20"/>
          <w:szCs w:val="20"/>
        </w:rPr>
        <w:t>s</w:t>
      </w:r>
      <w:r w:rsidR="00744871">
        <w:rPr>
          <w:rFonts w:ascii="Arial" w:hAnsi="Arial" w:cs="Arial"/>
          <w:sz w:val="20"/>
          <w:szCs w:val="20"/>
        </w:rPr>
        <w:t>’</w:t>
      </w:r>
      <w:r w:rsidR="0067748B" w:rsidRPr="00041066">
        <w:rPr>
          <w:rFonts w:ascii="Arial" w:hAnsi="Arial" w:cs="Arial"/>
          <w:sz w:val="20"/>
          <w:szCs w:val="20"/>
        </w:rPr>
        <w:t xml:space="preserve"> resignation letter</w:t>
      </w:r>
      <w:r w:rsidR="00744871">
        <w:rPr>
          <w:rFonts w:ascii="Arial" w:hAnsi="Arial" w:cs="Arial"/>
          <w:sz w:val="20"/>
          <w:szCs w:val="20"/>
        </w:rPr>
        <w:t>s</w:t>
      </w:r>
      <w:r w:rsidR="0067748B" w:rsidRPr="00041066">
        <w:rPr>
          <w:rFonts w:ascii="Arial" w:hAnsi="Arial" w:cs="Arial"/>
          <w:sz w:val="20"/>
          <w:szCs w:val="20"/>
        </w:rPr>
        <w:t xml:space="preserve"> </w:t>
      </w:r>
      <w:r w:rsidR="00744871">
        <w:rPr>
          <w:rFonts w:ascii="Arial" w:hAnsi="Arial" w:cs="Arial"/>
          <w:sz w:val="20"/>
          <w:szCs w:val="20"/>
        </w:rPr>
        <w:t xml:space="preserve">clearly </w:t>
      </w:r>
      <w:r w:rsidR="0067748B" w:rsidRPr="00041066">
        <w:rPr>
          <w:rFonts w:ascii="Arial" w:hAnsi="Arial" w:cs="Arial"/>
          <w:sz w:val="20"/>
          <w:szCs w:val="20"/>
        </w:rPr>
        <w:t>r</w:t>
      </w:r>
      <w:r w:rsidR="00744871">
        <w:rPr>
          <w:rFonts w:ascii="Arial" w:hAnsi="Arial" w:cs="Arial"/>
          <w:sz w:val="20"/>
          <w:szCs w:val="20"/>
        </w:rPr>
        <w:t>eflect</w:t>
      </w:r>
      <w:r w:rsidR="00C2043E" w:rsidRPr="00041066">
        <w:rPr>
          <w:rFonts w:ascii="Arial" w:hAnsi="Arial" w:cs="Arial"/>
          <w:sz w:val="20"/>
          <w:szCs w:val="20"/>
        </w:rPr>
        <w:t xml:space="preserve"> the reasons behind </w:t>
      </w:r>
      <w:r w:rsidR="00F44097">
        <w:rPr>
          <w:rFonts w:ascii="Arial" w:hAnsi="Arial" w:cs="Arial"/>
          <w:sz w:val="20"/>
          <w:szCs w:val="20"/>
        </w:rPr>
        <w:t>the</w:t>
      </w:r>
      <w:r w:rsidR="0067748B" w:rsidRPr="00041066">
        <w:rPr>
          <w:rFonts w:ascii="Arial" w:hAnsi="Arial" w:cs="Arial"/>
          <w:sz w:val="20"/>
          <w:szCs w:val="20"/>
        </w:rPr>
        <w:t xml:space="preserve"> resignation. </w:t>
      </w:r>
      <w:r w:rsidR="00744871">
        <w:rPr>
          <w:rFonts w:ascii="Arial" w:hAnsi="Arial" w:cs="Arial"/>
          <w:sz w:val="20"/>
          <w:szCs w:val="20"/>
        </w:rPr>
        <w:t xml:space="preserve">The HKEX expects the audit committee to fully understand the reasons for the auditors’ resignation and to hold a meeting with the outgoing auditors in private to discuss various matters including any contentious issues raised during the audit. </w:t>
      </w:r>
      <w:r w:rsidR="003D6727">
        <w:rPr>
          <w:rFonts w:ascii="Arial" w:hAnsi="Arial" w:cs="Arial"/>
          <w:sz w:val="20"/>
          <w:szCs w:val="20"/>
        </w:rPr>
        <w:t>The audit committee is also required to</w:t>
      </w:r>
      <w:r w:rsidR="0067748B" w:rsidRPr="00041066">
        <w:rPr>
          <w:rFonts w:ascii="Arial" w:hAnsi="Arial" w:cs="Arial"/>
          <w:sz w:val="20"/>
          <w:szCs w:val="20"/>
        </w:rPr>
        <w:t xml:space="preserve"> ensure that the issuer discloses</w:t>
      </w:r>
      <w:r w:rsidR="003D6727">
        <w:rPr>
          <w:rFonts w:ascii="Arial" w:hAnsi="Arial" w:cs="Arial"/>
          <w:sz w:val="20"/>
          <w:szCs w:val="20"/>
        </w:rPr>
        <w:t xml:space="preserve"> in the auditor</w:t>
      </w:r>
      <w:r w:rsidR="003D6727" w:rsidRPr="00041066">
        <w:rPr>
          <w:rFonts w:ascii="Arial" w:hAnsi="Arial" w:cs="Arial"/>
          <w:sz w:val="20"/>
          <w:szCs w:val="20"/>
        </w:rPr>
        <w:t>s</w:t>
      </w:r>
      <w:r w:rsidR="003D6727">
        <w:rPr>
          <w:rFonts w:ascii="Arial" w:hAnsi="Arial" w:cs="Arial"/>
          <w:sz w:val="20"/>
          <w:szCs w:val="20"/>
        </w:rPr>
        <w:t>’</w:t>
      </w:r>
      <w:r w:rsidR="003D6727" w:rsidRPr="00041066">
        <w:rPr>
          <w:rFonts w:ascii="Arial" w:hAnsi="Arial" w:cs="Arial"/>
          <w:sz w:val="20"/>
          <w:szCs w:val="20"/>
        </w:rPr>
        <w:t xml:space="preserve"> resignation announcement</w:t>
      </w:r>
      <w:r w:rsidR="003D6727">
        <w:rPr>
          <w:rFonts w:ascii="Arial" w:hAnsi="Arial" w:cs="Arial"/>
          <w:sz w:val="20"/>
          <w:szCs w:val="20"/>
        </w:rPr>
        <w:t xml:space="preserve"> anything that may need to</w:t>
      </w:r>
      <w:r w:rsidR="008E770A">
        <w:rPr>
          <w:rFonts w:ascii="Arial" w:hAnsi="Arial" w:cs="Arial"/>
          <w:sz w:val="20"/>
          <w:szCs w:val="20"/>
        </w:rPr>
        <w:t xml:space="preserve"> be</w:t>
      </w:r>
      <w:r w:rsidR="003D6727">
        <w:rPr>
          <w:rFonts w:ascii="Arial" w:hAnsi="Arial" w:cs="Arial"/>
          <w:sz w:val="20"/>
          <w:szCs w:val="20"/>
        </w:rPr>
        <w:t xml:space="preserve"> brought</w:t>
      </w:r>
      <w:r w:rsidR="0067748B" w:rsidRPr="00041066">
        <w:rPr>
          <w:rFonts w:ascii="Arial" w:hAnsi="Arial" w:cs="Arial"/>
          <w:sz w:val="20"/>
          <w:szCs w:val="20"/>
        </w:rPr>
        <w:t xml:space="preserve"> to shareholders’ attention in relation </w:t>
      </w:r>
      <w:r w:rsidR="001E5309" w:rsidRPr="00041066">
        <w:rPr>
          <w:rFonts w:ascii="Arial" w:hAnsi="Arial" w:cs="Arial"/>
          <w:sz w:val="20"/>
          <w:szCs w:val="20"/>
        </w:rPr>
        <w:t xml:space="preserve">to </w:t>
      </w:r>
      <w:r w:rsidR="0067748B" w:rsidRPr="00041066">
        <w:rPr>
          <w:rFonts w:ascii="Arial" w:hAnsi="Arial" w:cs="Arial"/>
          <w:sz w:val="20"/>
          <w:szCs w:val="20"/>
        </w:rPr>
        <w:t>issues or matters affecting the audit process or fees, or the issuer’</w:t>
      </w:r>
      <w:r w:rsidR="003D6727">
        <w:rPr>
          <w:rFonts w:ascii="Arial" w:hAnsi="Arial" w:cs="Arial"/>
          <w:sz w:val="20"/>
          <w:szCs w:val="20"/>
        </w:rPr>
        <w:t>s relationship with the auditor</w:t>
      </w:r>
      <w:r w:rsidR="0067748B" w:rsidRPr="00041066">
        <w:rPr>
          <w:rFonts w:ascii="Arial" w:hAnsi="Arial" w:cs="Arial"/>
          <w:sz w:val="20"/>
          <w:szCs w:val="20"/>
        </w:rPr>
        <w:t>.</w:t>
      </w:r>
    </w:p>
    <w:p w14:paraId="51515419" w14:textId="613E5A72" w:rsidR="00BF69D8" w:rsidRDefault="003D6727" w:rsidP="00DA5E70">
      <w:pPr>
        <w:jc w:val="both"/>
        <w:rPr>
          <w:rFonts w:ascii="Arial" w:hAnsi="Arial" w:cs="Arial"/>
          <w:sz w:val="20"/>
          <w:szCs w:val="20"/>
        </w:rPr>
      </w:pPr>
      <w:r>
        <w:rPr>
          <w:rFonts w:ascii="Arial" w:hAnsi="Arial" w:cs="Arial"/>
          <w:sz w:val="20"/>
          <w:szCs w:val="20"/>
        </w:rPr>
        <w:t>T</w:t>
      </w:r>
      <w:r w:rsidR="00A02509" w:rsidRPr="00041066">
        <w:rPr>
          <w:rFonts w:ascii="Arial" w:hAnsi="Arial" w:cs="Arial"/>
          <w:sz w:val="20"/>
          <w:szCs w:val="20"/>
        </w:rPr>
        <w:t xml:space="preserve">he HKEX </w:t>
      </w:r>
      <w:r>
        <w:rPr>
          <w:rFonts w:ascii="Arial" w:hAnsi="Arial" w:cs="Arial"/>
          <w:sz w:val="20"/>
          <w:szCs w:val="20"/>
        </w:rPr>
        <w:t xml:space="preserve">also </w:t>
      </w:r>
      <w:r w:rsidR="00A02509" w:rsidRPr="00041066">
        <w:rPr>
          <w:rFonts w:ascii="Arial" w:hAnsi="Arial" w:cs="Arial"/>
          <w:sz w:val="20"/>
          <w:szCs w:val="20"/>
        </w:rPr>
        <w:t xml:space="preserve">refers </w:t>
      </w:r>
      <w:r>
        <w:rPr>
          <w:rFonts w:ascii="Arial" w:hAnsi="Arial" w:cs="Arial"/>
          <w:sz w:val="20"/>
          <w:szCs w:val="20"/>
        </w:rPr>
        <w:t xml:space="preserve">in the Enforcement Bulletin </w:t>
      </w:r>
      <w:r w:rsidR="00A02509" w:rsidRPr="00041066">
        <w:rPr>
          <w:rFonts w:ascii="Arial" w:hAnsi="Arial" w:cs="Arial"/>
          <w:sz w:val="20"/>
          <w:szCs w:val="20"/>
        </w:rPr>
        <w:t xml:space="preserve">to the </w:t>
      </w:r>
      <w:r w:rsidR="00A02509" w:rsidRPr="00575CC6">
        <w:rPr>
          <w:rFonts w:ascii="Arial" w:hAnsi="Arial" w:cs="Arial"/>
          <w:sz w:val="20"/>
          <w:szCs w:val="20"/>
        </w:rPr>
        <w:t>concerns raised by the Accounting and Financial Reporting Council</w:t>
      </w:r>
      <w:r w:rsidR="00575CC6">
        <w:rPr>
          <w:rFonts w:ascii="Arial" w:hAnsi="Arial" w:cs="Arial"/>
          <w:sz w:val="20"/>
          <w:szCs w:val="20"/>
        </w:rPr>
        <w:t xml:space="preserve"> </w:t>
      </w:r>
      <w:r>
        <w:rPr>
          <w:rFonts w:ascii="Arial" w:hAnsi="Arial" w:cs="Arial"/>
          <w:sz w:val="20"/>
          <w:szCs w:val="20"/>
        </w:rPr>
        <w:t>(</w:t>
      </w:r>
      <w:r w:rsidRPr="003D6727">
        <w:rPr>
          <w:rFonts w:ascii="Arial" w:hAnsi="Arial" w:cs="Arial"/>
          <w:b/>
          <w:sz w:val="20"/>
          <w:szCs w:val="20"/>
        </w:rPr>
        <w:t>AFRC</w:t>
      </w:r>
      <w:r>
        <w:rPr>
          <w:rFonts w:ascii="Arial" w:hAnsi="Arial" w:cs="Arial"/>
          <w:sz w:val="20"/>
          <w:szCs w:val="20"/>
        </w:rPr>
        <w:t xml:space="preserve">) </w:t>
      </w:r>
      <w:r w:rsidR="00575CC6">
        <w:rPr>
          <w:rFonts w:ascii="Arial" w:hAnsi="Arial" w:cs="Arial"/>
          <w:sz w:val="20"/>
          <w:szCs w:val="20"/>
        </w:rPr>
        <w:t xml:space="preserve">in its </w:t>
      </w:r>
      <w:hyperlink r:id="rId17" w:history="1">
        <w:r w:rsidR="00575CC6" w:rsidRPr="00575CC6">
          <w:rPr>
            <w:rStyle w:val="a3"/>
            <w:rFonts w:ascii="Arial" w:hAnsi="Arial" w:cs="Arial"/>
            <w:sz w:val="20"/>
            <w:szCs w:val="20"/>
          </w:rPr>
          <w:t>open letter</w:t>
        </w:r>
      </w:hyperlink>
      <w:r w:rsidR="00575CC6">
        <w:rPr>
          <w:rFonts w:ascii="Arial" w:hAnsi="Arial" w:cs="Arial"/>
          <w:sz w:val="20"/>
          <w:szCs w:val="20"/>
        </w:rPr>
        <w:t xml:space="preserve"> </w:t>
      </w:r>
      <w:r>
        <w:rPr>
          <w:rFonts w:ascii="Arial" w:hAnsi="Arial" w:cs="Arial"/>
          <w:sz w:val="20"/>
          <w:szCs w:val="20"/>
        </w:rPr>
        <w:t xml:space="preserve">regarding </w:t>
      </w:r>
      <w:r w:rsidR="00A02509" w:rsidRPr="00041066">
        <w:rPr>
          <w:rFonts w:ascii="Arial" w:hAnsi="Arial" w:cs="Arial"/>
          <w:sz w:val="20"/>
          <w:szCs w:val="20"/>
        </w:rPr>
        <w:t xml:space="preserve">the misuse of “disagreement over audit fees” as a generic reason for resignation to obscure </w:t>
      </w:r>
      <w:r w:rsidR="00675CCA" w:rsidRPr="00041066">
        <w:rPr>
          <w:rFonts w:ascii="Arial" w:hAnsi="Arial" w:cs="Arial"/>
          <w:sz w:val="20"/>
          <w:szCs w:val="20"/>
        </w:rPr>
        <w:t xml:space="preserve">the </w:t>
      </w:r>
      <w:r>
        <w:rPr>
          <w:rFonts w:ascii="Arial" w:hAnsi="Arial" w:cs="Arial"/>
          <w:sz w:val="20"/>
          <w:szCs w:val="20"/>
        </w:rPr>
        <w:t xml:space="preserve">real </w:t>
      </w:r>
      <w:r w:rsidR="00675CCA" w:rsidRPr="00041066">
        <w:rPr>
          <w:rFonts w:ascii="Arial" w:hAnsi="Arial" w:cs="Arial"/>
          <w:sz w:val="20"/>
          <w:szCs w:val="20"/>
        </w:rPr>
        <w:t>reason</w:t>
      </w:r>
      <w:r w:rsidR="0009162A">
        <w:rPr>
          <w:rFonts w:ascii="Arial" w:hAnsi="Arial" w:cs="Arial"/>
          <w:sz w:val="20"/>
          <w:szCs w:val="20"/>
        </w:rPr>
        <w:t xml:space="preserve"> behind</w:t>
      </w:r>
      <w:r w:rsidR="00A57250">
        <w:rPr>
          <w:rFonts w:ascii="Arial" w:hAnsi="Arial" w:cs="Arial"/>
          <w:sz w:val="20"/>
          <w:szCs w:val="20"/>
        </w:rPr>
        <w:t xml:space="preserve"> it</w:t>
      </w:r>
      <w:r w:rsidR="00A02509" w:rsidRPr="00041066">
        <w:rPr>
          <w:rFonts w:ascii="Arial" w:hAnsi="Arial" w:cs="Arial"/>
          <w:sz w:val="20"/>
          <w:szCs w:val="20"/>
        </w:rPr>
        <w:t xml:space="preserve">. </w:t>
      </w:r>
      <w:r>
        <w:rPr>
          <w:rFonts w:ascii="Arial" w:hAnsi="Arial" w:cs="Arial"/>
          <w:sz w:val="20"/>
          <w:szCs w:val="20"/>
        </w:rPr>
        <w:t>The AFRC’s letter set</w:t>
      </w:r>
      <w:r w:rsidR="00C26329">
        <w:rPr>
          <w:rFonts w:ascii="Arial" w:hAnsi="Arial" w:cs="Arial"/>
          <w:sz w:val="20"/>
          <w:szCs w:val="20"/>
        </w:rPr>
        <w:t>s</w:t>
      </w:r>
      <w:r>
        <w:rPr>
          <w:rFonts w:ascii="Arial" w:hAnsi="Arial" w:cs="Arial"/>
          <w:sz w:val="20"/>
          <w:szCs w:val="20"/>
        </w:rPr>
        <w:t xml:space="preserve"> out </w:t>
      </w:r>
      <w:r w:rsidR="00C26329">
        <w:rPr>
          <w:rFonts w:ascii="Arial" w:hAnsi="Arial" w:cs="Arial"/>
          <w:sz w:val="20"/>
          <w:szCs w:val="20"/>
        </w:rPr>
        <w:t>its expectations that a</w:t>
      </w:r>
      <w:r w:rsidR="00A02509" w:rsidRPr="00041066">
        <w:rPr>
          <w:rFonts w:ascii="Arial" w:hAnsi="Arial" w:cs="Arial"/>
          <w:sz w:val="20"/>
          <w:szCs w:val="20"/>
        </w:rPr>
        <w:t xml:space="preserve">udit committees </w:t>
      </w:r>
      <w:r w:rsidR="00C26329">
        <w:rPr>
          <w:rFonts w:ascii="Arial" w:hAnsi="Arial" w:cs="Arial"/>
          <w:sz w:val="20"/>
          <w:szCs w:val="20"/>
        </w:rPr>
        <w:t xml:space="preserve">should engage in discussions with resigning auditors to understand </w:t>
      </w:r>
      <w:r w:rsidR="002F3D9A" w:rsidRPr="00041066">
        <w:rPr>
          <w:rFonts w:ascii="Arial" w:hAnsi="Arial" w:cs="Arial"/>
          <w:sz w:val="20"/>
          <w:szCs w:val="20"/>
        </w:rPr>
        <w:t xml:space="preserve">the reasons for </w:t>
      </w:r>
      <w:r w:rsidR="00C26329">
        <w:rPr>
          <w:rFonts w:ascii="Arial" w:hAnsi="Arial" w:cs="Arial"/>
          <w:sz w:val="20"/>
          <w:szCs w:val="20"/>
        </w:rPr>
        <w:t xml:space="preserve">their </w:t>
      </w:r>
      <w:r w:rsidR="00A02509" w:rsidRPr="00041066">
        <w:rPr>
          <w:rFonts w:ascii="Arial" w:hAnsi="Arial" w:cs="Arial"/>
          <w:sz w:val="20"/>
          <w:szCs w:val="20"/>
        </w:rPr>
        <w:t xml:space="preserve">resignation and </w:t>
      </w:r>
      <w:r w:rsidR="00C26329">
        <w:rPr>
          <w:rFonts w:ascii="Arial" w:hAnsi="Arial" w:cs="Arial"/>
          <w:sz w:val="20"/>
          <w:szCs w:val="20"/>
        </w:rPr>
        <w:t>ensure that the disclosure of the circumstances leading to the resignation in issuers’ announcements is accurate and not misleading</w:t>
      </w:r>
      <w:r w:rsidR="002F3D9A" w:rsidRPr="00041066">
        <w:rPr>
          <w:rFonts w:ascii="Arial" w:hAnsi="Arial" w:cs="Arial"/>
          <w:sz w:val="20"/>
          <w:szCs w:val="20"/>
        </w:rPr>
        <w:t>.</w:t>
      </w:r>
    </w:p>
    <w:p w14:paraId="658FCDBB" w14:textId="77777777" w:rsidR="00782869" w:rsidRDefault="00782869" w:rsidP="00782869">
      <w:pPr>
        <w:jc w:val="both"/>
        <w:rPr>
          <w:rFonts w:ascii="Arial" w:hAnsi="Arial" w:cs="Arial"/>
          <w:sz w:val="20"/>
          <w:szCs w:val="20"/>
        </w:rPr>
      </w:pPr>
    </w:p>
    <w:p w14:paraId="58D47971" w14:textId="77777777" w:rsidR="00782869" w:rsidRPr="00A41F57" w:rsidRDefault="00782869" w:rsidP="00782869">
      <w:pPr>
        <w:pStyle w:val="DisclaimerBold"/>
        <w:numPr>
          <w:ilvl w:val="0"/>
          <w:numId w:val="13"/>
        </w:numPr>
        <w:rPr>
          <w:rFonts w:ascii="Helvetica" w:hAnsi="Helvetica"/>
        </w:rPr>
      </w:pPr>
      <w:r w:rsidRPr="00F05494">
        <w:rPr>
          <w:rFonts w:ascii="Helvetica" w:hAnsi="Helvetica"/>
        </w:rPr>
        <w:t>This newsletter is for information purposes only.</w:t>
      </w:r>
    </w:p>
    <w:p w14:paraId="6A43BD37" w14:textId="77777777" w:rsidR="00782869" w:rsidRPr="00F05494" w:rsidRDefault="00782869" w:rsidP="00782869">
      <w:pPr>
        <w:pStyle w:val="Disclaimer"/>
        <w:numPr>
          <w:ilvl w:val="0"/>
          <w:numId w:val="13"/>
        </w:numPr>
        <w:rPr>
          <w:rFonts w:ascii="Helvetica" w:hAnsi="Helvetica"/>
        </w:rPr>
      </w:pPr>
      <w:r w:rsidRPr="00F05494">
        <w:rPr>
          <w:rFonts w:ascii="Helvetica" w:hAnsi="Helvetica"/>
        </w:rPr>
        <w:t>Its contents do not constitute legal advice and it should not be regarded as a substitute for detailed advice in individual cases.</w:t>
      </w:r>
    </w:p>
    <w:p w14:paraId="43BEC6AA" w14:textId="77777777" w:rsidR="00782869" w:rsidRPr="00F05494" w:rsidRDefault="00782869" w:rsidP="00782869">
      <w:pPr>
        <w:pStyle w:val="Disclaimer"/>
        <w:numPr>
          <w:ilvl w:val="0"/>
          <w:numId w:val="13"/>
        </w:numP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08D83FE1" w14:textId="77777777" w:rsidR="00782869" w:rsidRPr="00F05494" w:rsidRDefault="00782869" w:rsidP="00782869">
      <w:pPr>
        <w:pStyle w:val="Disclaimer"/>
        <w:numPr>
          <w:ilvl w:val="0"/>
          <w:numId w:val="13"/>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third</w:t>
      </w:r>
      <w:r w:rsidRPr="00A41F57">
        <w:rPr>
          <w:rFonts w:ascii="Helvetica" w:hAnsi="Helvetica"/>
        </w:rPr>
        <w:t xml:space="preserve"> </w:t>
      </w:r>
      <w:r w:rsidRPr="00F05494">
        <w:rPr>
          <w:rFonts w:ascii="Helvetica" w:hAnsi="Helvetica"/>
        </w:rPr>
        <w:t>party content which can be accessed through the website.</w:t>
      </w:r>
    </w:p>
    <w:p w14:paraId="6B173F3A" w14:textId="77777777" w:rsidR="00782869" w:rsidRPr="00F05494" w:rsidRDefault="00782869" w:rsidP="00782869">
      <w:pPr>
        <w:pStyle w:val="Disclaimer"/>
        <w:numPr>
          <w:ilvl w:val="0"/>
          <w:numId w:val="13"/>
        </w:numPr>
        <w:rPr>
          <w:rFonts w:ascii="Helvetica" w:hAnsi="Helvetica"/>
        </w:rPr>
      </w:pPr>
      <w:r w:rsidRPr="00F05494">
        <w:rPr>
          <w:rFonts w:ascii="Helvetica" w:hAnsi="Helvetica"/>
        </w:rPr>
        <w:t xml:space="preserve">If you do not wish to receive this newsletter please let us know by emailing us at  </w:t>
      </w:r>
      <w:hyperlink r:id="rId18">
        <w:r w:rsidRPr="00F05494">
          <w:rPr>
            <w:rFonts w:ascii="Helvetica" w:hAnsi="Helvetica"/>
          </w:rPr>
          <w:t>unsubscribe@charltonslaw.com</w:t>
        </w:r>
      </w:hyperlink>
    </w:p>
    <w:p w14:paraId="22BCF7C6" w14:textId="69ACD285" w:rsidR="00782869" w:rsidRPr="00782869" w:rsidRDefault="00782869" w:rsidP="00782869">
      <w:pPr>
        <w:pStyle w:val="BlackStrips"/>
        <w:ind w:left="360"/>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1</w:t>
      </w:r>
      <w:r w:rsidR="00750A16">
        <w:rPr>
          <w:rFonts w:ascii="Helvetica" w:hAnsi="Helvetica"/>
        </w:rPr>
        <w:t>9</w:t>
      </w:r>
      <w:r w:rsidRPr="00F05494">
        <w:rPr>
          <w:rFonts w:ascii="Helvetica" w:hAnsi="Helvetica"/>
        </w:rPr>
        <w:t xml:space="preserve"> </w:t>
      </w:r>
      <w:r>
        <w:rPr>
          <w:rFonts w:ascii="Helvetica" w:hAnsi="Helvetica"/>
        </w:rPr>
        <w:t>April</w:t>
      </w:r>
      <w:r w:rsidRPr="00F05494">
        <w:rPr>
          <w:rFonts w:ascii="Helvetica" w:hAnsi="Helvetica"/>
        </w:rPr>
        <w:t xml:space="preserve"> 202</w:t>
      </w:r>
      <w:r w:rsidRPr="008524CA">
        <w:rPr>
          <w:rFonts w:ascii="Helvetica" w:hAnsi="Helvetica"/>
        </w:rPr>
        <w:t>3</w:t>
      </w:r>
    </w:p>
    <w:sectPr w:rsidR="00782869" w:rsidRPr="007828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5F81" w14:textId="77777777" w:rsidR="008739D1" w:rsidRDefault="008739D1" w:rsidP="00EB6D23">
      <w:pPr>
        <w:spacing w:after="0" w:line="240" w:lineRule="auto"/>
      </w:pPr>
      <w:r>
        <w:separator/>
      </w:r>
    </w:p>
  </w:endnote>
  <w:endnote w:type="continuationSeparator" w:id="0">
    <w:p w14:paraId="7F3460A7" w14:textId="77777777" w:rsidR="008739D1" w:rsidRDefault="008739D1" w:rsidP="00EB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C478" w14:textId="77777777" w:rsidR="008739D1" w:rsidRDefault="008739D1" w:rsidP="00EB6D23">
      <w:pPr>
        <w:spacing w:after="0" w:line="240" w:lineRule="auto"/>
      </w:pPr>
      <w:r>
        <w:separator/>
      </w:r>
    </w:p>
  </w:footnote>
  <w:footnote w:type="continuationSeparator" w:id="0">
    <w:p w14:paraId="6158A548" w14:textId="77777777" w:rsidR="008739D1" w:rsidRDefault="008739D1" w:rsidP="00EB6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89"/>
    <w:multiLevelType w:val="hybridMultilevel"/>
    <w:tmpl w:val="E4A0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61DE"/>
    <w:multiLevelType w:val="multilevel"/>
    <w:tmpl w:val="9DCE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D6ED8"/>
    <w:multiLevelType w:val="hybridMultilevel"/>
    <w:tmpl w:val="4B2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C388A"/>
    <w:multiLevelType w:val="hybridMultilevel"/>
    <w:tmpl w:val="F06AD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17089"/>
    <w:multiLevelType w:val="hybridMultilevel"/>
    <w:tmpl w:val="34B4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94782"/>
    <w:multiLevelType w:val="multilevel"/>
    <w:tmpl w:val="048C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453A3"/>
    <w:multiLevelType w:val="hybridMultilevel"/>
    <w:tmpl w:val="61FA220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4DDC4506"/>
    <w:multiLevelType w:val="hybridMultilevel"/>
    <w:tmpl w:val="8C1A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A45B1"/>
    <w:multiLevelType w:val="hybridMultilevel"/>
    <w:tmpl w:val="C74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14514"/>
    <w:multiLevelType w:val="multilevel"/>
    <w:tmpl w:val="9448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D33012"/>
    <w:multiLevelType w:val="hybridMultilevel"/>
    <w:tmpl w:val="A236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E0F1F"/>
    <w:multiLevelType w:val="multilevel"/>
    <w:tmpl w:val="9F18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1862328">
    <w:abstractNumId w:val="12"/>
  </w:num>
  <w:num w:numId="2" w16cid:durableId="1518960251">
    <w:abstractNumId w:val="1"/>
  </w:num>
  <w:num w:numId="3" w16cid:durableId="1301036255">
    <w:abstractNumId w:val="9"/>
  </w:num>
  <w:num w:numId="4" w16cid:durableId="2028560730">
    <w:abstractNumId w:val="5"/>
  </w:num>
  <w:num w:numId="5" w16cid:durableId="986201878">
    <w:abstractNumId w:val="0"/>
  </w:num>
  <w:num w:numId="6" w16cid:durableId="781610735">
    <w:abstractNumId w:val="4"/>
  </w:num>
  <w:num w:numId="7" w16cid:durableId="286788174">
    <w:abstractNumId w:val="7"/>
  </w:num>
  <w:num w:numId="8" w16cid:durableId="1224366161">
    <w:abstractNumId w:val="3"/>
  </w:num>
  <w:num w:numId="9" w16cid:durableId="714618911">
    <w:abstractNumId w:val="6"/>
  </w:num>
  <w:num w:numId="10" w16cid:durableId="1486777199">
    <w:abstractNumId w:val="8"/>
  </w:num>
  <w:num w:numId="11" w16cid:durableId="319506662">
    <w:abstractNumId w:val="2"/>
  </w:num>
  <w:num w:numId="12" w16cid:durableId="821041571">
    <w:abstractNumId w:val="10"/>
  </w:num>
  <w:num w:numId="13" w16cid:durableId="14170497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3ABKmBoYGlmbmxko6SsGpxcWZ+XkgBYa1AANsD1EsAAAA"/>
  </w:docVars>
  <w:rsids>
    <w:rsidRoot w:val="00C3348D"/>
    <w:rsid w:val="000017D1"/>
    <w:rsid w:val="00037460"/>
    <w:rsid w:val="00041066"/>
    <w:rsid w:val="00046593"/>
    <w:rsid w:val="0004728B"/>
    <w:rsid w:val="00051AF8"/>
    <w:rsid w:val="00053CB5"/>
    <w:rsid w:val="00080036"/>
    <w:rsid w:val="00085A6D"/>
    <w:rsid w:val="0009162A"/>
    <w:rsid w:val="00093C5B"/>
    <w:rsid w:val="000B6F00"/>
    <w:rsid w:val="000C4AF7"/>
    <w:rsid w:val="000E03C2"/>
    <w:rsid w:val="00105F2A"/>
    <w:rsid w:val="00111D7A"/>
    <w:rsid w:val="0012252A"/>
    <w:rsid w:val="001306D5"/>
    <w:rsid w:val="001613E3"/>
    <w:rsid w:val="00172AE3"/>
    <w:rsid w:val="00173E42"/>
    <w:rsid w:val="001759B0"/>
    <w:rsid w:val="0018362F"/>
    <w:rsid w:val="001A6F0E"/>
    <w:rsid w:val="001C5516"/>
    <w:rsid w:val="001D2D00"/>
    <w:rsid w:val="001E1535"/>
    <w:rsid w:val="001E26AE"/>
    <w:rsid w:val="001E5309"/>
    <w:rsid w:val="001F3338"/>
    <w:rsid w:val="002024B9"/>
    <w:rsid w:val="002066BE"/>
    <w:rsid w:val="00233922"/>
    <w:rsid w:val="002355B2"/>
    <w:rsid w:val="00252EEF"/>
    <w:rsid w:val="00254BE0"/>
    <w:rsid w:val="00281A59"/>
    <w:rsid w:val="002B1C88"/>
    <w:rsid w:val="002C4B72"/>
    <w:rsid w:val="002F3D9A"/>
    <w:rsid w:val="002F41D8"/>
    <w:rsid w:val="00305FD4"/>
    <w:rsid w:val="00325812"/>
    <w:rsid w:val="003A67DD"/>
    <w:rsid w:val="003D6727"/>
    <w:rsid w:val="004040AB"/>
    <w:rsid w:val="004219BB"/>
    <w:rsid w:val="00426B35"/>
    <w:rsid w:val="0043388A"/>
    <w:rsid w:val="00434011"/>
    <w:rsid w:val="00454737"/>
    <w:rsid w:val="004646FE"/>
    <w:rsid w:val="00474F5B"/>
    <w:rsid w:val="00486856"/>
    <w:rsid w:val="004928AA"/>
    <w:rsid w:val="004A14E7"/>
    <w:rsid w:val="004B7FB3"/>
    <w:rsid w:val="004D231B"/>
    <w:rsid w:val="005266D0"/>
    <w:rsid w:val="005571E9"/>
    <w:rsid w:val="00575CC6"/>
    <w:rsid w:val="00577B04"/>
    <w:rsid w:val="005862CB"/>
    <w:rsid w:val="005A4178"/>
    <w:rsid w:val="005C2854"/>
    <w:rsid w:val="005C4105"/>
    <w:rsid w:val="005E52A8"/>
    <w:rsid w:val="005F0698"/>
    <w:rsid w:val="005F7CAA"/>
    <w:rsid w:val="006027DF"/>
    <w:rsid w:val="0060770F"/>
    <w:rsid w:val="0062521A"/>
    <w:rsid w:val="00627C9F"/>
    <w:rsid w:val="0064462C"/>
    <w:rsid w:val="00672E3A"/>
    <w:rsid w:val="00675CCA"/>
    <w:rsid w:val="0067748B"/>
    <w:rsid w:val="0068647E"/>
    <w:rsid w:val="00692AEC"/>
    <w:rsid w:val="006B1EAC"/>
    <w:rsid w:val="006B2F1A"/>
    <w:rsid w:val="006D712E"/>
    <w:rsid w:val="006F2B79"/>
    <w:rsid w:val="006F3472"/>
    <w:rsid w:val="006F4D33"/>
    <w:rsid w:val="00725D71"/>
    <w:rsid w:val="0073161B"/>
    <w:rsid w:val="007430A8"/>
    <w:rsid w:val="00744871"/>
    <w:rsid w:val="00750A16"/>
    <w:rsid w:val="00756285"/>
    <w:rsid w:val="00782869"/>
    <w:rsid w:val="00785AA9"/>
    <w:rsid w:val="00797FB7"/>
    <w:rsid w:val="007C1E63"/>
    <w:rsid w:val="008118E4"/>
    <w:rsid w:val="00814064"/>
    <w:rsid w:val="008152F8"/>
    <w:rsid w:val="0083301F"/>
    <w:rsid w:val="008500D3"/>
    <w:rsid w:val="008510B5"/>
    <w:rsid w:val="00852259"/>
    <w:rsid w:val="00853F8B"/>
    <w:rsid w:val="008739D1"/>
    <w:rsid w:val="00880D0C"/>
    <w:rsid w:val="008B2B9C"/>
    <w:rsid w:val="008C69EE"/>
    <w:rsid w:val="008D2522"/>
    <w:rsid w:val="008D7685"/>
    <w:rsid w:val="008E32D7"/>
    <w:rsid w:val="008E770A"/>
    <w:rsid w:val="00902FD7"/>
    <w:rsid w:val="009101D1"/>
    <w:rsid w:val="00932F8B"/>
    <w:rsid w:val="00945ABA"/>
    <w:rsid w:val="009821C3"/>
    <w:rsid w:val="00991BD0"/>
    <w:rsid w:val="009B0367"/>
    <w:rsid w:val="009E2662"/>
    <w:rsid w:val="009E6023"/>
    <w:rsid w:val="009F3C4E"/>
    <w:rsid w:val="00A02509"/>
    <w:rsid w:val="00A244D7"/>
    <w:rsid w:val="00A403C0"/>
    <w:rsid w:val="00A41DF8"/>
    <w:rsid w:val="00A47655"/>
    <w:rsid w:val="00A57250"/>
    <w:rsid w:val="00A749C0"/>
    <w:rsid w:val="00AA215A"/>
    <w:rsid w:val="00AA55E2"/>
    <w:rsid w:val="00AB4EF8"/>
    <w:rsid w:val="00AC2CF9"/>
    <w:rsid w:val="00AC2D08"/>
    <w:rsid w:val="00AC7D37"/>
    <w:rsid w:val="00B377BE"/>
    <w:rsid w:val="00B41AF1"/>
    <w:rsid w:val="00B61ABE"/>
    <w:rsid w:val="00B642CB"/>
    <w:rsid w:val="00B73C6F"/>
    <w:rsid w:val="00BA04F7"/>
    <w:rsid w:val="00BB19DB"/>
    <w:rsid w:val="00BB3E00"/>
    <w:rsid w:val="00BC24B6"/>
    <w:rsid w:val="00BE2F2E"/>
    <w:rsid w:val="00BE4EFC"/>
    <w:rsid w:val="00BF0455"/>
    <w:rsid w:val="00BF0CCE"/>
    <w:rsid w:val="00BF69D8"/>
    <w:rsid w:val="00BF7949"/>
    <w:rsid w:val="00C2043E"/>
    <w:rsid w:val="00C26329"/>
    <w:rsid w:val="00C3348D"/>
    <w:rsid w:val="00C4202F"/>
    <w:rsid w:val="00C71B79"/>
    <w:rsid w:val="00C766B7"/>
    <w:rsid w:val="00CA75DD"/>
    <w:rsid w:val="00CE1F93"/>
    <w:rsid w:val="00D12066"/>
    <w:rsid w:val="00D2105F"/>
    <w:rsid w:val="00D449A9"/>
    <w:rsid w:val="00D63954"/>
    <w:rsid w:val="00D82BB5"/>
    <w:rsid w:val="00DA5E70"/>
    <w:rsid w:val="00DF1449"/>
    <w:rsid w:val="00DF2295"/>
    <w:rsid w:val="00DF7624"/>
    <w:rsid w:val="00E42E97"/>
    <w:rsid w:val="00E43C39"/>
    <w:rsid w:val="00E87DB0"/>
    <w:rsid w:val="00E90770"/>
    <w:rsid w:val="00EA20F4"/>
    <w:rsid w:val="00EA4811"/>
    <w:rsid w:val="00EB6D23"/>
    <w:rsid w:val="00ED7CCB"/>
    <w:rsid w:val="00F24969"/>
    <w:rsid w:val="00F44097"/>
    <w:rsid w:val="00F56C5E"/>
    <w:rsid w:val="00F61B3C"/>
    <w:rsid w:val="00F74882"/>
    <w:rsid w:val="00F9250E"/>
    <w:rsid w:val="00FB055F"/>
    <w:rsid w:val="00FB285C"/>
    <w:rsid w:val="00FB2DCB"/>
    <w:rsid w:val="00FB48F9"/>
    <w:rsid w:val="00FE30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CB0F"/>
  <w15:chartTrackingRefBased/>
  <w15:docId w15:val="{4F94F806-4102-4FAA-8FFB-F04DF997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
    <w:name w:val="label"/>
    <w:basedOn w:val="a0"/>
    <w:rsid w:val="00C3348D"/>
  </w:style>
  <w:style w:type="character" w:customStyle="1" w:styleId="s1ppyq">
    <w:name w:val="s1ppyq"/>
    <w:basedOn w:val="a0"/>
    <w:rsid w:val="00051AF8"/>
  </w:style>
  <w:style w:type="character" w:styleId="a3">
    <w:name w:val="Hyperlink"/>
    <w:basedOn w:val="a0"/>
    <w:uiPriority w:val="99"/>
    <w:unhideWhenUsed/>
    <w:rsid w:val="001F3338"/>
    <w:rPr>
      <w:color w:val="0563C1" w:themeColor="hyperlink"/>
      <w:u w:val="single"/>
    </w:rPr>
  </w:style>
  <w:style w:type="paragraph" w:styleId="a4">
    <w:name w:val="List Paragraph"/>
    <w:basedOn w:val="a"/>
    <w:uiPriority w:val="34"/>
    <w:qFormat/>
    <w:rsid w:val="00053CB5"/>
    <w:pPr>
      <w:ind w:left="720"/>
      <w:contextualSpacing/>
    </w:pPr>
  </w:style>
  <w:style w:type="table" w:styleId="a5">
    <w:name w:val="Table Grid"/>
    <w:basedOn w:val="a1"/>
    <w:uiPriority w:val="39"/>
    <w:rsid w:val="006F2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785AA9"/>
    <w:rPr>
      <w:color w:val="954F72" w:themeColor="followedHyperlink"/>
      <w:u w:val="single"/>
    </w:rPr>
  </w:style>
  <w:style w:type="paragraph" w:styleId="a7">
    <w:name w:val="Balloon Text"/>
    <w:basedOn w:val="a"/>
    <w:link w:val="a8"/>
    <w:uiPriority w:val="99"/>
    <w:semiHidden/>
    <w:unhideWhenUsed/>
    <w:rsid w:val="006F4D3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4D33"/>
    <w:rPr>
      <w:rFonts w:ascii="Segoe UI" w:hAnsi="Segoe UI" w:cs="Segoe UI"/>
      <w:sz w:val="18"/>
      <w:szCs w:val="18"/>
    </w:rPr>
  </w:style>
  <w:style w:type="paragraph" w:styleId="a9">
    <w:name w:val="header"/>
    <w:basedOn w:val="a"/>
    <w:link w:val="aa"/>
    <w:uiPriority w:val="99"/>
    <w:unhideWhenUsed/>
    <w:rsid w:val="00EB6D23"/>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EB6D23"/>
  </w:style>
  <w:style w:type="paragraph" w:styleId="ab">
    <w:name w:val="footer"/>
    <w:basedOn w:val="a"/>
    <w:link w:val="ac"/>
    <w:uiPriority w:val="99"/>
    <w:unhideWhenUsed/>
    <w:rsid w:val="00EB6D23"/>
    <w:pPr>
      <w:tabs>
        <w:tab w:val="center" w:pos="4680"/>
        <w:tab w:val="right" w:pos="9360"/>
      </w:tabs>
      <w:spacing w:after="0" w:line="240" w:lineRule="auto"/>
    </w:pPr>
  </w:style>
  <w:style w:type="character" w:customStyle="1" w:styleId="ac">
    <w:name w:val="Нижний колонтитул Знак"/>
    <w:basedOn w:val="a0"/>
    <w:link w:val="ab"/>
    <w:uiPriority w:val="99"/>
    <w:rsid w:val="00EB6D23"/>
  </w:style>
  <w:style w:type="paragraph" w:customStyle="1" w:styleId="Disclaimer">
    <w:name w:val="Disclaimer"/>
    <w:basedOn w:val="a"/>
    <w:qFormat/>
    <w:rsid w:val="00782869"/>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782869"/>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782869"/>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03687">
      <w:bodyDiv w:val="1"/>
      <w:marLeft w:val="0"/>
      <w:marRight w:val="0"/>
      <w:marTop w:val="0"/>
      <w:marBottom w:val="0"/>
      <w:divBdr>
        <w:top w:val="none" w:sz="0" w:space="0" w:color="auto"/>
        <w:left w:val="none" w:sz="0" w:space="0" w:color="auto"/>
        <w:bottom w:val="none" w:sz="0" w:space="0" w:color="auto"/>
        <w:right w:val="none" w:sz="0" w:space="0" w:color="auto"/>
      </w:divBdr>
    </w:div>
    <w:div w:id="1807314287">
      <w:bodyDiv w:val="1"/>
      <w:marLeft w:val="0"/>
      <w:marRight w:val="0"/>
      <w:marTop w:val="0"/>
      <w:marBottom w:val="0"/>
      <w:divBdr>
        <w:top w:val="none" w:sz="0" w:space="0" w:color="auto"/>
        <w:left w:val="none" w:sz="0" w:space="0" w:color="auto"/>
        <w:bottom w:val="none" w:sz="0" w:space="0" w:color="auto"/>
        <w:right w:val="none" w:sz="0" w:space="0" w:color="auto"/>
      </w:divBdr>
      <w:divsChild>
        <w:div w:id="1322276696">
          <w:marLeft w:val="0"/>
          <w:marRight w:val="0"/>
          <w:marTop w:val="0"/>
          <w:marBottom w:val="0"/>
          <w:divBdr>
            <w:top w:val="none" w:sz="0" w:space="0" w:color="auto"/>
            <w:left w:val="none" w:sz="0" w:space="0" w:color="auto"/>
            <w:bottom w:val="none" w:sz="0" w:space="0" w:color="auto"/>
            <w:right w:val="none" w:sz="0" w:space="0" w:color="auto"/>
          </w:divBdr>
        </w:div>
      </w:divsChild>
    </w:div>
    <w:div w:id="1811171975">
      <w:bodyDiv w:val="1"/>
      <w:marLeft w:val="0"/>
      <w:marRight w:val="0"/>
      <w:marTop w:val="0"/>
      <w:marBottom w:val="0"/>
      <w:divBdr>
        <w:top w:val="none" w:sz="0" w:space="0" w:color="auto"/>
        <w:left w:val="none" w:sz="0" w:space="0" w:color="auto"/>
        <w:bottom w:val="none" w:sz="0" w:space="0" w:color="auto"/>
        <w:right w:val="none" w:sz="0" w:space="0" w:color="auto"/>
      </w:divBdr>
      <w:divsChild>
        <w:div w:id="1655452642">
          <w:marLeft w:val="0"/>
          <w:marRight w:val="0"/>
          <w:marTop w:val="0"/>
          <w:marBottom w:val="0"/>
          <w:divBdr>
            <w:top w:val="none" w:sz="0" w:space="0" w:color="auto"/>
            <w:left w:val="none" w:sz="0" w:space="0" w:color="auto"/>
            <w:bottom w:val="none" w:sz="0" w:space="0" w:color="auto"/>
            <w:right w:val="none" w:sz="0" w:space="0" w:color="auto"/>
          </w:divBdr>
        </w:div>
      </w:divsChild>
    </w:div>
    <w:div w:id="1898399484">
      <w:bodyDiv w:val="1"/>
      <w:marLeft w:val="0"/>
      <w:marRight w:val="0"/>
      <w:marTop w:val="0"/>
      <w:marBottom w:val="0"/>
      <w:divBdr>
        <w:top w:val="none" w:sz="0" w:space="0" w:color="auto"/>
        <w:left w:val="none" w:sz="0" w:space="0" w:color="auto"/>
        <w:bottom w:val="none" w:sz="0" w:space="0" w:color="auto"/>
        <w:right w:val="none" w:sz="0" w:space="0" w:color="auto"/>
      </w:divBdr>
      <w:divsChild>
        <w:div w:id="1289165299">
          <w:marLeft w:val="0"/>
          <w:marRight w:val="0"/>
          <w:marTop w:val="0"/>
          <w:marBottom w:val="0"/>
          <w:divBdr>
            <w:top w:val="none" w:sz="0" w:space="0" w:color="auto"/>
            <w:left w:val="none" w:sz="0" w:space="0" w:color="auto"/>
            <w:bottom w:val="none" w:sz="0" w:space="0" w:color="auto"/>
            <w:right w:val="none" w:sz="0" w:space="0" w:color="auto"/>
          </w:divBdr>
          <w:divsChild>
            <w:div w:id="11608685">
              <w:marLeft w:val="0"/>
              <w:marRight w:val="0"/>
              <w:marTop w:val="0"/>
              <w:marBottom w:val="105"/>
              <w:divBdr>
                <w:top w:val="none" w:sz="0" w:space="0" w:color="auto"/>
                <w:left w:val="none" w:sz="0" w:space="0" w:color="auto"/>
                <w:bottom w:val="none" w:sz="0" w:space="0" w:color="auto"/>
                <w:right w:val="none" w:sz="0" w:space="0" w:color="auto"/>
              </w:divBdr>
            </w:div>
          </w:divsChild>
        </w:div>
        <w:div w:id="1892498404">
          <w:marLeft w:val="0"/>
          <w:marRight w:val="0"/>
          <w:marTop w:val="0"/>
          <w:marBottom w:val="0"/>
          <w:divBdr>
            <w:top w:val="none" w:sz="0" w:space="0" w:color="auto"/>
            <w:left w:val="none" w:sz="0" w:space="0" w:color="auto"/>
            <w:bottom w:val="none" w:sz="0" w:space="0" w:color="auto"/>
            <w:right w:val="none" w:sz="0" w:space="0" w:color="auto"/>
          </w:divBdr>
          <w:divsChild>
            <w:div w:id="6760874">
              <w:marLeft w:val="0"/>
              <w:marRight w:val="0"/>
              <w:marTop w:val="0"/>
              <w:marBottom w:val="105"/>
              <w:divBdr>
                <w:top w:val="none" w:sz="0" w:space="0" w:color="auto"/>
                <w:left w:val="none" w:sz="0" w:space="0" w:color="auto"/>
                <w:bottom w:val="none" w:sz="0" w:space="0" w:color="auto"/>
                <w:right w:val="none" w:sz="0" w:space="0" w:color="auto"/>
              </w:divBdr>
            </w:div>
          </w:divsChild>
        </w:div>
        <w:div w:id="1728991361">
          <w:marLeft w:val="0"/>
          <w:marRight w:val="0"/>
          <w:marTop w:val="0"/>
          <w:marBottom w:val="0"/>
          <w:divBdr>
            <w:top w:val="none" w:sz="0" w:space="0" w:color="auto"/>
            <w:left w:val="none" w:sz="0" w:space="0" w:color="auto"/>
            <w:bottom w:val="none" w:sz="0" w:space="0" w:color="auto"/>
            <w:right w:val="none" w:sz="0" w:space="0" w:color="auto"/>
          </w:divBdr>
          <w:divsChild>
            <w:div w:id="985745559">
              <w:marLeft w:val="0"/>
              <w:marRight w:val="0"/>
              <w:marTop w:val="0"/>
              <w:marBottom w:val="105"/>
              <w:divBdr>
                <w:top w:val="none" w:sz="0" w:space="0" w:color="auto"/>
                <w:left w:val="none" w:sz="0" w:space="0" w:color="auto"/>
                <w:bottom w:val="none" w:sz="0" w:space="0" w:color="auto"/>
                <w:right w:val="none" w:sz="0" w:space="0" w:color="auto"/>
              </w:divBdr>
            </w:div>
          </w:divsChild>
        </w:div>
        <w:div w:id="2016105072">
          <w:marLeft w:val="0"/>
          <w:marRight w:val="0"/>
          <w:marTop w:val="0"/>
          <w:marBottom w:val="0"/>
          <w:divBdr>
            <w:top w:val="none" w:sz="0" w:space="0" w:color="auto"/>
            <w:left w:val="none" w:sz="0" w:space="0" w:color="auto"/>
            <w:bottom w:val="none" w:sz="0" w:space="0" w:color="auto"/>
            <w:right w:val="none" w:sz="0" w:space="0" w:color="auto"/>
          </w:divBdr>
          <w:divsChild>
            <w:div w:id="313605908">
              <w:marLeft w:val="0"/>
              <w:marRight w:val="0"/>
              <w:marTop w:val="0"/>
              <w:marBottom w:val="105"/>
              <w:divBdr>
                <w:top w:val="none" w:sz="0" w:space="0" w:color="auto"/>
                <w:left w:val="none" w:sz="0" w:space="0" w:color="auto"/>
                <w:bottom w:val="none" w:sz="0" w:space="0" w:color="auto"/>
                <w:right w:val="none" w:sz="0" w:space="0" w:color="auto"/>
              </w:divBdr>
            </w:div>
          </w:divsChild>
        </w:div>
        <w:div w:id="1800804110">
          <w:marLeft w:val="0"/>
          <w:marRight w:val="0"/>
          <w:marTop w:val="0"/>
          <w:marBottom w:val="0"/>
          <w:divBdr>
            <w:top w:val="none" w:sz="0" w:space="0" w:color="auto"/>
            <w:left w:val="none" w:sz="0" w:space="0" w:color="auto"/>
            <w:bottom w:val="none" w:sz="0" w:space="0" w:color="auto"/>
            <w:right w:val="none" w:sz="0" w:space="0" w:color="auto"/>
          </w:divBdr>
          <w:divsChild>
            <w:div w:id="873928064">
              <w:marLeft w:val="0"/>
              <w:marRight w:val="0"/>
              <w:marTop w:val="0"/>
              <w:marBottom w:val="105"/>
              <w:divBdr>
                <w:top w:val="none" w:sz="0" w:space="0" w:color="auto"/>
                <w:left w:val="none" w:sz="0" w:space="0" w:color="auto"/>
                <w:bottom w:val="none" w:sz="0" w:space="0" w:color="auto"/>
                <w:right w:val="none" w:sz="0" w:space="0" w:color="auto"/>
              </w:divBdr>
            </w:div>
          </w:divsChild>
        </w:div>
        <w:div w:id="1182281190">
          <w:marLeft w:val="0"/>
          <w:marRight w:val="0"/>
          <w:marTop w:val="0"/>
          <w:marBottom w:val="0"/>
          <w:divBdr>
            <w:top w:val="none" w:sz="0" w:space="0" w:color="auto"/>
            <w:left w:val="none" w:sz="0" w:space="0" w:color="auto"/>
            <w:bottom w:val="none" w:sz="0" w:space="0" w:color="auto"/>
            <w:right w:val="none" w:sz="0" w:space="0" w:color="auto"/>
          </w:divBdr>
          <w:divsChild>
            <w:div w:id="1976059891">
              <w:marLeft w:val="0"/>
              <w:marRight w:val="0"/>
              <w:marTop w:val="0"/>
              <w:marBottom w:val="105"/>
              <w:divBdr>
                <w:top w:val="none" w:sz="0" w:space="0" w:color="auto"/>
                <w:left w:val="none" w:sz="0" w:space="0" w:color="auto"/>
                <w:bottom w:val="none" w:sz="0" w:space="0" w:color="auto"/>
                <w:right w:val="none" w:sz="0" w:space="0" w:color="auto"/>
              </w:divBdr>
            </w:div>
          </w:divsChild>
        </w:div>
        <w:div w:id="568812498">
          <w:marLeft w:val="0"/>
          <w:marRight w:val="0"/>
          <w:marTop w:val="0"/>
          <w:marBottom w:val="0"/>
          <w:divBdr>
            <w:top w:val="none" w:sz="0" w:space="0" w:color="auto"/>
            <w:left w:val="none" w:sz="0" w:space="0" w:color="auto"/>
            <w:bottom w:val="none" w:sz="0" w:space="0" w:color="auto"/>
            <w:right w:val="none" w:sz="0" w:space="0" w:color="auto"/>
          </w:divBdr>
          <w:divsChild>
            <w:div w:id="1592274554">
              <w:marLeft w:val="0"/>
              <w:marRight w:val="0"/>
              <w:marTop w:val="0"/>
              <w:marBottom w:val="105"/>
              <w:divBdr>
                <w:top w:val="none" w:sz="0" w:space="0" w:color="auto"/>
                <w:left w:val="none" w:sz="0" w:space="0" w:color="auto"/>
                <w:bottom w:val="none" w:sz="0" w:space="0" w:color="auto"/>
                <w:right w:val="none" w:sz="0" w:space="0" w:color="auto"/>
              </w:divBdr>
            </w:div>
          </w:divsChild>
        </w:div>
        <w:div w:id="697118908">
          <w:marLeft w:val="0"/>
          <w:marRight w:val="0"/>
          <w:marTop w:val="0"/>
          <w:marBottom w:val="0"/>
          <w:divBdr>
            <w:top w:val="none" w:sz="0" w:space="0" w:color="auto"/>
            <w:left w:val="none" w:sz="0" w:space="0" w:color="auto"/>
            <w:bottom w:val="none" w:sz="0" w:space="0" w:color="auto"/>
            <w:right w:val="none" w:sz="0" w:space="0" w:color="auto"/>
          </w:divBdr>
          <w:divsChild>
            <w:div w:id="158157463">
              <w:marLeft w:val="0"/>
              <w:marRight w:val="0"/>
              <w:marTop w:val="0"/>
              <w:marBottom w:val="105"/>
              <w:divBdr>
                <w:top w:val="none" w:sz="0" w:space="0" w:color="auto"/>
                <w:left w:val="none" w:sz="0" w:space="0" w:color="auto"/>
                <w:bottom w:val="none" w:sz="0" w:space="0" w:color="auto"/>
                <w:right w:val="none" w:sz="0" w:space="0" w:color="auto"/>
              </w:divBdr>
            </w:div>
          </w:divsChild>
        </w:div>
        <w:div w:id="1788698591">
          <w:marLeft w:val="0"/>
          <w:marRight w:val="0"/>
          <w:marTop w:val="0"/>
          <w:marBottom w:val="0"/>
          <w:divBdr>
            <w:top w:val="none" w:sz="0" w:space="0" w:color="auto"/>
            <w:left w:val="none" w:sz="0" w:space="0" w:color="auto"/>
            <w:bottom w:val="none" w:sz="0" w:space="0" w:color="auto"/>
            <w:right w:val="none" w:sz="0" w:space="0" w:color="auto"/>
          </w:divBdr>
          <w:divsChild>
            <w:div w:id="1073504916">
              <w:marLeft w:val="0"/>
              <w:marRight w:val="0"/>
              <w:marTop w:val="0"/>
              <w:marBottom w:val="105"/>
              <w:divBdr>
                <w:top w:val="none" w:sz="0" w:space="0" w:color="auto"/>
                <w:left w:val="none" w:sz="0" w:space="0" w:color="auto"/>
                <w:bottom w:val="none" w:sz="0" w:space="0" w:color="auto"/>
                <w:right w:val="none" w:sz="0" w:space="0" w:color="auto"/>
              </w:divBdr>
            </w:div>
          </w:divsChild>
        </w:div>
        <w:div w:id="1339773562">
          <w:marLeft w:val="0"/>
          <w:marRight w:val="0"/>
          <w:marTop w:val="0"/>
          <w:marBottom w:val="0"/>
          <w:divBdr>
            <w:top w:val="none" w:sz="0" w:space="0" w:color="auto"/>
            <w:left w:val="none" w:sz="0" w:space="0" w:color="auto"/>
            <w:bottom w:val="none" w:sz="0" w:space="0" w:color="auto"/>
            <w:right w:val="none" w:sz="0" w:space="0" w:color="auto"/>
          </w:divBdr>
          <w:divsChild>
            <w:div w:id="46801060">
              <w:marLeft w:val="0"/>
              <w:marRight w:val="0"/>
              <w:marTop w:val="0"/>
              <w:marBottom w:val="105"/>
              <w:divBdr>
                <w:top w:val="none" w:sz="0" w:space="0" w:color="auto"/>
                <w:left w:val="none" w:sz="0" w:space="0" w:color="auto"/>
                <w:bottom w:val="none" w:sz="0" w:space="0" w:color="auto"/>
                <w:right w:val="none" w:sz="0" w:space="0" w:color="auto"/>
              </w:divBdr>
            </w:div>
          </w:divsChild>
        </w:div>
        <w:div w:id="1137450832">
          <w:marLeft w:val="0"/>
          <w:marRight w:val="0"/>
          <w:marTop w:val="0"/>
          <w:marBottom w:val="0"/>
          <w:divBdr>
            <w:top w:val="none" w:sz="0" w:space="0" w:color="auto"/>
            <w:left w:val="none" w:sz="0" w:space="0" w:color="auto"/>
            <w:bottom w:val="none" w:sz="0" w:space="0" w:color="auto"/>
            <w:right w:val="none" w:sz="0" w:space="0" w:color="auto"/>
          </w:divBdr>
          <w:divsChild>
            <w:div w:id="730076810">
              <w:marLeft w:val="0"/>
              <w:marRight w:val="0"/>
              <w:marTop w:val="0"/>
              <w:marBottom w:val="105"/>
              <w:divBdr>
                <w:top w:val="none" w:sz="0" w:space="0" w:color="auto"/>
                <w:left w:val="none" w:sz="0" w:space="0" w:color="auto"/>
                <w:bottom w:val="none" w:sz="0" w:space="0" w:color="auto"/>
                <w:right w:val="none" w:sz="0" w:space="0" w:color="auto"/>
              </w:divBdr>
            </w:div>
          </w:divsChild>
        </w:div>
        <w:div w:id="1577546635">
          <w:marLeft w:val="0"/>
          <w:marRight w:val="0"/>
          <w:marTop w:val="0"/>
          <w:marBottom w:val="0"/>
          <w:divBdr>
            <w:top w:val="none" w:sz="0" w:space="0" w:color="auto"/>
            <w:left w:val="none" w:sz="0" w:space="0" w:color="auto"/>
            <w:bottom w:val="none" w:sz="0" w:space="0" w:color="auto"/>
            <w:right w:val="none" w:sz="0" w:space="0" w:color="auto"/>
          </w:divBdr>
          <w:divsChild>
            <w:div w:id="1499080742">
              <w:marLeft w:val="0"/>
              <w:marRight w:val="0"/>
              <w:marTop w:val="0"/>
              <w:marBottom w:val="105"/>
              <w:divBdr>
                <w:top w:val="none" w:sz="0" w:space="0" w:color="auto"/>
                <w:left w:val="none" w:sz="0" w:space="0" w:color="auto"/>
                <w:bottom w:val="none" w:sz="0" w:space="0" w:color="auto"/>
                <w:right w:val="none" w:sz="0" w:space="0" w:color="auto"/>
              </w:divBdr>
            </w:div>
          </w:divsChild>
        </w:div>
        <w:div w:id="548954892">
          <w:marLeft w:val="0"/>
          <w:marRight w:val="0"/>
          <w:marTop w:val="0"/>
          <w:marBottom w:val="0"/>
          <w:divBdr>
            <w:top w:val="none" w:sz="0" w:space="0" w:color="auto"/>
            <w:left w:val="none" w:sz="0" w:space="0" w:color="auto"/>
            <w:bottom w:val="none" w:sz="0" w:space="0" w:color="auto"/>
            <w:right w:val="none" w:sz="0" w:space="0" w:color="auto"/>
          </w:divBdr>
          <w:divsChild>
            <w:div w:id="1490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Listing/Rules-and-Guidance/Disciplinary-and-Enforcement/Enforcement-Newsletter/newsletter202303.pdf" TargetMode="External"/><Relationship Id="rId13" Type="http://schemas.openxmlformats.org/officeDocument/2006/relationships/hyperlink" Target="https://www.hkex.com.hk/News/Regulatory-Announcements/2022/221121news?sc_lang=en" TargetMode="External"/><Relationship Id="rId18"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harltonslaw.com/hkex-publishes-march-2023-enforcement-bulletin-with-focus-on-disclosure/" TargetMode="External"/><Relationship Id="rId12" Type="http://schemas.openxmlformats.org/officeDocument/2006/relationships/hyperlink" Target="https://www.hkex.com.hk/-/media/HKEX-Market/Listing/Rules-and-Guidance/Other-Resources/Exchanges-Review-of-Issuers-Annual-Disclosure/rdiar_2022.pdf" TargetMode="External"/><Relationship Id="rId17" Type="http://schemas.openxmlformats.org/officeDocument/2006/relationships/hyperlink" Target="https://www.afrc.org.hk/en-hk/Documents/Publications/periodic-reports/Follow_up_Open_letter_to_PIE_and_AC.pdf" TargetMode="External"/><Relationship Id="rId2" Type="http://schemas.openxmlformats.org/officeDocument/2006/relationships/styles" Target="styles.xml"/><Relationship Id="rId16" Type="http://schemas.openxmlformats.org/officeDocument/2006/relationships/hyperlink" Target="https://www.hkex.com.hk/-/media/HKEX-Market/Listing/Rules-and-Guidance/Other-Resources/Listed-Issuers/LIR-Newsletter/newsletter_20221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EN/files/COM/Statements/SFC-HKEX_Joint-Statement_EN.pdf" TargetMode="External"/><Relationship Id="rId5" Type="http://schemas.openxmlformats.org/officeDocument/2006/relationships/footnotes" Target="footnotes.xml"/><Relationship Id="rId15" Type="http://schemas.openxmlformats.org/officeDocument/2006/relationships/hyperlink" Target="https://www.hkex.com.hk/News/News-Release/2007/070511news?sc_lang=en" TargetMode="External"/><Relationship Id="rId10" Type="http://schemas.openxmlformats.org/officeDocument/2006/relationships/hyperlink" Target="https://www.hkex.com.hk/News/Regulatory-Announcements/2022/220805news?sc_lang=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kex.com.hk/News/Regulatory-Announcements/2022/220718news?sc_lang=en" TargetMode="External"/><Relationship Id="rId14" Type="http://schemas.openxmlformats.org/officeDocument/2006/relationships/hyperlink" Target="https://www.hkex.com.hk/News/Regulatory-Announcements/2022/221212news?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4</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Microsoft Office User</cp:lastModifiedBy>
  <cp:revision>23</cp:revision>
  <cp:lastPrinted>2023-04-03T08:10:00Z</cp:lastPrinted>
  <dcterms:created xsi:type="dcterms:W3CDTF">2023-04-12T06:42:00Z</dcterms:created>
  <dcterms:modified xsi:type="dcterms:W3CDTF">2023-04-19T07:00:00Z</dcterms:modified>
</cp:coreProperties>
</file>