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14D8" w:rsidRPr="00C8768E" w:rsidRDefault="004214D8" w:rsidP="004214D8">
      <w:pPr>
        <w:shd w:val="clear" w:color="auto" w:fill="000000"/>
        <w:spacing w:after="0" w:line="260" w:lineRule="exact"/>
        <w:jc w:val="center"/>
        <w:rPr>
          <w:rFonts w:ascii="Arial" w:eastAsia="Cambria" w:hAnsi="Arial" w:cs="Arial"/>
          <w:color w:val="FFFFFF"/>
          <w:szCs w:val="20"/>
          <w:lang w:eastAsia="zh-TW"/>
        </w:rPr>
      </w:pPr>
      <w:proofErr w:type="spellStart"/>
      <w:r w:rsidRPr="00C8768E">
        <w:rPr>
          <w:rFonts w:ascii="Arial" w:eastAsia="Cambria" w:hAnsi="Arial" w:cs="Arial"/>
          <w:color w:val="FFFFFF"/>
          <w:szCs w:val="20"/>
          <w:lang w:eastAsia="zh-TW"/>
        </w:rPr>
        <w:t>Charltons</w:t>
      </w:r>
      <w:proofErr w:type="spellEnd"/>
      <w:r w:rsidRPr="00C8768E">
        <w:rPr>
          <w:rFonts w:ascii="Arial" w:eastAsia="Cambria" w:hAnsi="Arial" w:cs="Arial"/>
          <w:color w:val="FFFFFF"/>
          <w:szCs w:val="20"/>
          <w:lang w:eastAsia="zh-TW"/>
        </w:rPr>
        <w:t xml:space="preserve"> - Hong Kong Law </w:t>
      </w:r>
      <w:proofErr w:type="gramStart"/>
      <w:r w:rsidRPr="00C8768E">
        <w:rPr>
          <w:rFonts w:ascii="Arial" w:eastAsia="Cambria" w:hAnsi="Arial" w:cs="Arial"/>
          <w:color w:val="FFFFFF"/>
          <w:szCs w:val="20"/>
          <w:lang w:eastAsia="zh-TW"/>
        </w:rPr>
        <w:t xml:space="preserve">-  </w:t>
      </w:r>
      <w:r>
        <w:rPr>
          <w:rFonts w:ascii="Arial" w:eastAsia="Cambria" w:hAnsi="Arial" w:cs="Arial"/>
          <w:color w:val="FFFFFF"/>
          <w:szCs w:val="20"/>
          <w:lang w:eastAsia="zh-TW"/>
        </w:rPr>
        <w:t>1</w:t>
      </w:r>
      <w:r w:rsidR="003A31BD">
        <w:rPr>
          <w:rFonts w:ascii="Arial" w:eastAsia="Cambria" w:hAnsi="Arial" w:cs="Arial"/>
          <w:color w:val="FFFFFF"/>
          <w:szCs w:val="20"/>
          <w:lang w:eastAsia="zh-TW"/>
        </w:rPr>
        <w:t>4</w:t>
      </w:r>
      <w:proofErr w:type="gramEnd"/>
      <w:r>
        <w:rPr>
          <w:rFonts w:ascii="Arial" w:eastAsia="Cambria" w:hAnsi="Arial" w:cs="Arial"/>
          <w:color w:val="FFFFFF"/>
          <w:szCs w:val="20"/>
          <w:lang w:eastAsia="zh-TW"/>
        </w:rPr>
        <w:t xml:space="preserve"> February 2025</w:t>
      </w:r>
    </w:p>
    <w:p w:rsidR="004214D8" w:rsidRPr="00C8768E" w:rsidRDefault="004214D8" w:rsidP="004214D8">
      <w:pPr>
        <w:spacing w:after="0" w:line="260" w:lineRule="exact"/>
        <w:jc w:val="center"/>
        <w:rPr>
          <w:rFonts w:ascii="Arial" w:eastAsia="Cambria" w:hAnsi="Arial" w:cs="Arial"/>
          <w:color w:val="0000FF" w:themeColor="hyperlink"/>
          <w:szCs w:val="20"/>
          <w:u w:val="single"/>
          <w:lang w:eastAsia="zh-TW"/>
        </w:rPr>
      </w:pPr>
    </w:p>
    <w:p w:rsidR="004214D8" w:rsidRPr="00C8768E" w:rsidRDefault="004214D8" w:rsidP="004214D8">
      <w:pPr>
        <w:spacing w:after="0" w:line="260" w:lineRule="exact"/>
        <w:jc w:val="center"/>
        <w:rPr>
          <w:rFonts w:ascii="Arial" w:eastAsia="Cambria" w:hAnsi="Arial" w:cs="Arial"/>
          <w:sz w:val="28"/>
          <w:szCs w:val="20"/>
          <w:u w:val="single"/>
          <w:lang w:eastAsia="zh-TW"/>
        </w:rPr>
      </w:pPr>
      <w:hyperlink r:id="rId8" w:history="1">
        <w:r w:rsidRPr="002C141B">
          <w:rPr>
            <w:rStyle w:val="af"/>
            <w:rFonts w:ascii="Arial" w:eastAsia="Cambria" w:hAnsi="Arial" w:cs="Arial"/>
            <w:sz w:val="28"/>
            <w:szCs w:val="20"/>
            <w:lang w:eastAsia="zh-TW"/>
          </w:rPr>
          <w:t>Online version</w:t>
        </w:r>
      </w:hyperlink>
    </w:p>
    <w:p w:rsidR="004214D8" w:rsidRDefault="004214D8" w:rsidP="007212E1">
      <w:pPr>
        <w:ind w:left="284" w:hanging="142"/>
        <w:rPr>
          <w:rFonts w:ascii="Arial" w:hAnsi="Arial" w:cs="Arial"/>
          <w:color w:val="auto"/>
          <w:sz w:val="21"/>
          <w:szCs w:val="21"/>
        </w:rPr>
      </w:pPr>
    </w:p>
    <w:p w:rsidR="00B628AA" w:rsidRDefault="00FF6BCB" w:rsidP="007212E1">
      <w:pPr>
        <w:ind w:left="284" w:hanging="142"/>
        <w:rPr>
          <w:rFonts w:ascii="Arial" w:hAnsi="Arial" w:cs="Arial"/>
          <w:color w:val="auto"/>
          <w:sz w:val="21"/>
          <w:szCs w:val="21"/>
        </w:rPr>
      </w:pPr>
      <w:r w:rsidRPr="00FF6BCB">
        <w:rPr>
          <w:rFonts w:ascii="Arial" w:hAnsi="Arial" w:cs="Arial"/>
          <w:color w:val="auto"/>
          <w:sz w:val="21"/>
          <w:szCs w:val="21"/>
        </w:rPr>
        <w:t xml:space="preserve">This newsletter </w:t>
      </w:r>
      <w:proofErr w:type="spellStart"/>
      <w:r w:rsidRPr="00FF6BCB">
        <w:rPr>
          <w:rFonts w:ascii="Arial" w:hAnsi="Arial" w:cs="Arial"/>
          <w:color w:val="auto"/>
          <w:sz w:val="21"/>
          <w:szCs w:val="21"/>
        </w:rPr>
        <w:t>summarises</w:t>
      </w:r>
      <w:proofErr w:type="spellEnd"/>
      <w:r w:rsidRPr="00FF6BCB">
        <w:rPr>
          <w:rFonts w:ascii="Arial" w:hAnsi="Arial" w:cs="Arial"/>
          <w:color w:val="auto"/>
          <w:sz w:val="21"/>
          <w:szCs w:val="21"/>
        </w:rPr>
        <w:t xml:space="preserve"> some key Hong Kong regulatory news and updates during January 2025.</w:t>
      </w:r>
    </w:p>
    <w:p w:rsidR="00FF6BCB" w:rsidRDefault="00FF6BCB" w:rsidP="00FF6BCB">
      <w:pPr>
        <w:jc w:val="center"/>
        <w:rPr>
          <w:rFonts w:ascii="Arial" w:eastAsia="Times New Roman" w:hAnsi="Arial" w:cs="Arial"/>
          <w:b/>
          <w:color w:val="E61D24"/>
          <w:sz w:val="30"/>
          <w:szCs w:val="30"/>
        </w:rPr>
      </w:pPr>
      <w:r w:rsidRPr="00FF6BCB">
        <w:rPr>
          <w:rFonts w:ascii="Arial" w:eastAsia="Times New Roman" w:hAnsi="Arial" w:cs="Arial"/>
          <w:b/>
          <w:color w:val="E61D24"/>
          <w:sz w:val="30"/>
          <w:szCs w:val="30"/>
        </w:rPr>
        <w:t>Hong Kong’s SFC Publishes Circular for Hong Kong Virtual Asset Platform Regulations with Stricter Conduct Standards</w:t>
      </w:r>
    </w:p>
    <w:tbl>
      <w:tblPr>
        <w:tblW w:w="5000" w:type="pct"/>
        <w:tblCellMar>
          <w:left w:w="0" w:type="dxa"/>
          <w:right w:w="0" w:type="dxa"/>
        </w:tblCellMar>
        <w:tblLook w:val="04A0" w:firstRow="1" w:lastRow="0" w:firstColumn="1" w:lastColumn="0" w:noHBand="0" w:noVBand="1"/>
      </w:tblPr>
      <w:tblGrid>
        <w:gridCol w:w="10178"/>
      </w:tblGrid>
      <w:tr w:rsidR="00FF6BCB" w:rsidTr="00FF6BCB">
        <w:tc>
          <w:tcPr>
            <w:tcW w:w="0" w:type="auto"/>
            <w:tcMar>
              <w:top w:w="0" w:type="dxa"/>
              <w:left w:w="225" w:type="dxa"/>
              <w:bottom w:w="0" w:type="dxa"/>
              <w:right w:w="225" w:type="dxa"/>
            </w:tcMar>
            <w:vAlign w:val="center"/>
            <w:hideMark/>
          </w:tcPr>
          <w:p w:rsidR="00FF6BCB" w:rsidRDefault="00FF6BCB">
            <w:pPr>
              <w:pStyle w:val="text-build-content"/>
              <w:spacing w:before="150" w:after="150" w:line="345" w:lineRule="exact"/>
              <w:jc w:val="both"/>
              <w:rPr>
                <w:rFonts w:ascii="Verdana" w:hAnsi="Verdana"/>
                <w:color w:val="000000"/>
                <w:sz w:val="21"/>
                <w:szCs w:val="21"/>
              </w:rPr>
            </w:pPr>
            <w:r w:rsidRPr="007212E1">
              <w:rPr>
                <w:rFonts w:ascii="Arial" w:hAnsi="Arial" w:cs="Arial"/>
                <w:sz w:val="21"/>
                <w:szCs w:val="21"/>
              </w:rPr>
              <w:t>On 16 January 2025, the Hong Kong Securities and Futures Commission (</w:t>
            </w:r>
            <w:r w:rsidR="004716FC" w:rsidRPr="00BC4769">
              <w:rPr>
                <w:rFonts w:ascii="Arial" w:hAnsi="Arial" w:cs="Arial"/>
                <w:b/>
                <w:sz w:val="21"/>
                <w:szCs w:val="21"/>
              </w:rPr>
              <w:t>HK</w:t>
            </w:r>
            <w:r w:rsidR="004716FC">
              <w:rPr>
                <w:rFonts w:ascii="Arial" w:hAnsi="Arial" w:cs="Arial"/>
                <w:sz w:val="21"/>
                <w:szCs w:val="21"/>
              </w:rPr>
              <w:t xml:space="preserve"> </w:t>
            </w:r>
            <w:r w:rsidRPr="00BC4769">
              <w:rPr>
                <w:rFonts w:ascii="Arial" w:hAnsi="Arial" w:cs="Arial"/>
                <w:b/>
                <w:sz w:val="21"/>
                <w:szCs w:val="21"/>
              </w:rPr>
              <w:t>SFC</w:t>
            </w:r>
            <w:r w:rsidRPr="007212E1">
              <w:rPr>
                <w:rFonts w:ascii="Arial" w:hAnsi="Arial" w:cs="Arial"/>
                <w:sz w:val="21"/>
                <w:szCs w:val="21"/>
              </w:rPr>
              <w:t>) announced new regulatory standards for Virtual Asset Trading Platforms (</w:t>
            </w:r>
            <w:r w:rsidRPr="00BC4769">
              <w:rPr>
                <w:rFonts w:ascii="Arial" w:hAnsi="Arial" w:cs="Arial"/>
                <w:b/>
                <w:sz w:val="21"/>
                <w:szCs w:val="21"/>
              </w:rPr>
              <w:t>VATPs</w:t>
            </w:r>
            <w:r w:rsidRPr="007212E1">
              <w:rPr>
                <w:rFonts w:ascii="Arial" w:hAnsi="Arial" w:cs="Arial"/>
                <w:sz w:val="21"/>
                <w:szCs w:val="21"/>
              </w:rPr>
              <w:t xml:space="preserve">). These measures, detailed in an official </w:t>
            </w:r>
            <w:hyperlink r:id="rId9" w:tgtFrame="_blank" w:history="1">
              <w:r>
                <w:rPr>
                  <w:rStyle w:val="af"/>
                  <w:rFonts w:ascii="Arial" w:hAnsi="Arial" w:cs="Arial"/>
                  <w:color w:val="E61D24"/>
                  <w:sz w:val="21"/>
                  <w:szCs w:val="21"/>
                </w:rPr>
                <w:t>circular</w:t>
              </w:r>
            </w:hyperlink>
            <w:r>
              <w:rPr>
                <w:rFonts w:ascii="Arial" w:hAnsi="Arial" w:cs="Arial"/>
                <w:color w:val="55575D"/>
                <w:sz w:val="21"/>
                <w:szCs w:val="21"/>
              </w:rPr>
              <w:t xml:space="preserve"> </w:t>
            </w:r>
            <w:r w:rsidRPr="007212E1">
              <w:rPr>
                <w:rFonts w:ascii="Arial" w:hAnsi="Arial" w:cs="Arial"/>
                <w:sz w:val="21"/>
                <w:szCs w:val="21"/>
              </w:rPr>
              <w:t xml:space="preserve">and </w:t>
            </w:r>
            <w:r w:rsidR="00D479C5">
              <w:rPr>
                <w:rFonts w:ascii="Arial" w:hAnsi="Arial" w:cs="Arial"/>
                <w:sz w:val="21"/>
                <w:szCs w:val="21"/>
              </w:rPr>
              <w:t xml:space="preserve">its </w:t>
            </w:r>
            <w:r w:rsidRPr="007212E1">
              <w:rPr>
                <w:rFonts w:ascii="Arial" w:hAnsi="Arial" w:cs="Arial"/>
                <w:sz w:val="21"/>
                <w:szCs w:val="21"/>
              </w:rPr>
              <w:t>appendices (</w:t>
            </w:r>
            <w:hyperlink r:id="rId10" w:tgtFrame="_blank" w:history="1">
              <w:r>
                <w:rPr>
                  <w:rStyle w:val="af"/>
                  <w:rFonts w:ascii="Arial" w:hAnsi="Arial" w:cs="Arial"/>
                  <w:color w:val="E61D24"/>
                  <w:sz w:val="21"/>
                  <w:szCs w:val="21"/>
                </w:rPr>
                <w:t>Appendix 1</w:t>
              </w:r>
            </w:hyperlink>
            <w:r>
              <w:rPr>
                <w:rFonts w:ascii="Arial" w:hAnsi="Arial" w:cs="Arial"/>
                <w:color w:val="55575D"/>
                <w:sz w:val="21"/>
                <w:szCs w:val="21"/>
              </w:rPr>
              <w:t xml:space="preserve"> </w:t>
            </w:r>
            <w:r w:rsidRPr="007212E1">
              <w:rPr>
                <w:rFonts w:ascii="Arial" w:hAnsi="Arial" w:cs="Arial"/>
                <w:sz w:val="21"/>
                <w:szCs w:val="21"/>
              </w:rPr>
              <w:t>and</w:t>
            </w:r>
            <w:r>
              <w:rPr>
                <w:rFonts w:ascii="Arial" w:hAnsi="Arial" w:cs="Arial"/>
                <w:color w:val="55575D"/>
                <w:sz w:val="21"/>
                <w:szCs w:val="21"/>
              </w:rPr>
              <w:t xml:space="preserve"> </w:t>
            </w:r>
            <w:hyperlink r:id="rId11" w:tgtFrame="_blank" w:history="1">
              <w:r>
                <w:rPr>
                  <w:rStyle w:val="af"/>
                  <w:rFonts w:ascii="Arial" w:hAnsi="Arial" w:cs="Arial"/>
                  <w:color w:val="E61D24"/>
                  <w:sz w:val="21"/>
                  <w:szCs w:val="21"/>
                </w:rPr>
                <w:t>Appendix 2</w:t>
              </w:r>
            </w:hyperlink>
            <w:r w:rsidRPr="007212E1">
              <w:rPr>
                <w:rFonts w:ascii="Arial" w:hAnsi="Arial" w:cs="Arial"/>
                <w:sz w:val="21"/>
                <w:szCs w:val="21"/>
              </w:rPr>
              <w:t>), were introduced following inspections of VATP applicants under the deemed licensing framework</w:t>
            </w:r>
            <w:r w:rsidR="00D479C5">
              <w:rPr>
                <w:rFonts w:ascii="Arial" w:hAnsi="Arial" w:cs="Arial"/>
                <w:sz w:val="21"/>
                <w:szCs w:val="21"/>
              </w:rPr>
              <w:t xml:space="preserve"> and supplement the requirements under the </w:t>
            </w:r>
            <w:hyperlink r:id="rId12" w:history="1">
              <w:r w:rsidR="00D479C5" w:rsidRPr="001446C7">
                <w:rPr>
                  <w:rStyle w:val="af"/>
                  <w:rFonts w:ascii="Arial" w:hAnsi="Arial" w:cs="Arial"/>
                  <w:color w:val="FF0000"/>
                  <w:sz w:val="21"/>
                  <w:szCs w:val="21"/>
                </w:rPr>
                <w:t>VATP Guidelines</w:t>
              </w:r>
            </w:hyperlink>
            <w:r w:rsidRPr="007212E1">
              <w:rPr>
                <w:rFonts w:ascii="Arial" w:hAnsi="Arial" w:cs="Arial"/>
                <w:sz w:val="21"/>
                <w:szCs w:val="21"/>
              </w:rPr>
              <w:t>. The</w:t>
            </w:r>
            <w:r w:rsidR="00F72FB7">
              <w:rPr>
                <w:rFonts w:ascii="Arial" w:hAnsi="Arial" w:cs="Arial"/>
                <w:sz w:val="21"/>
                <w:szCs w:val="21"/>
              </w:rPr>
              <w:t>ir</w:t>
            </w:r>
            <w:r w:rsidRPr="007212E1">
              <w:rPr>
                <w:rFonts w:ascii="Arial" w:hAnsi="Arial" w:cs="Arial"/>
                <w:sz w:val="21"/>
                <w:szCs w:val="21"/>
              </w:rPr>
              <w:t xml:space="preserve"> aim is to enhance the security, compliance, and operational integrity of </w:t>
            </w:r>
            <w:r w:rsidR="00F72FB7">
              <w:rPr>
                <w:rFonts w:ascii="Arial" w:hAnsi="Arial" w:cs="Arial"/>
                <w:sz w:val="21"/>
                <w:szCs w:val="21"/>
              </w:rPr>
              <w:t xml:space="preserve">virtual asset trading </w:t>
            </w:r>
            <w:r w:rsidRPr="007212E1">
              <w:rPr>
                <w:rFonts w:ascii="Arial" w:hAnsi="Arial" w:cs="Arial"/>
                <w:sz w:val="21"/>
                <w:szCs w:val="21"/>
              </w:rPr>
              <w:t>platforms operating in Hong Kong.</w:t>
            </w:r>
          </w:p>
        </w:tc>
      </w:tr>
      <w:tr w:rsidR="00FF6BCB" w:rsidTr="00FF6BCB">
        <w:tc>
          <w:tcPr>
            <w:tcW w:w="0" w:type="auto"/>
            <w:tcMar>
              <w:top w:w="0" w:type="dxa"/>
              <w:left w:w="225" w:type="dxa"/>
              <w:bottom w:w="0" w:type="dxa"/>
              <w:right w:w="225" w:type="dxa"/>
            </w:tcMar>
            <w:vAlign w:val="center"/>
            <w:hideMark/>
          </w:tcPr>
          <w:p w:rsidR="00FF6BCB" w:rsidRPr="007212E1" w:rsidRDefault="00FF6BCB">
            <w:pPr>
              <w:pStyle w:val="text-build-content"/>
              <w:spacing w:before="150" w:after="150" w:line="330" w:lineRule="exact"/>
              <w:jc w:val="both"/>
              <w:rPr>
                <w:rFonts w:ascii="Verdana" w:hAnsi="Verdana"/>
                <w:sz w:val="21"/>
                <w:szCs w:val="21"/>
              </w:rPr>
            </w:pPr>
            <w:r w:rsidRPr="007212E1">
              <w:rPr>
                <w:rFonts w:ascii="Arial" w:hAnsi="Arial" w:cs="Arial"/>
                <w:sz w:val="21"/>
                <w:szCs w:val="21"/>
              </w:rPr>
              <w:t>The HK SFC conducted comprehensive reviews focusing on cybersecurity, safeguarding client assets, and Know-Your-Client (</w:t>
            </w:r>
            <w:r w:rsidRPr="00BC4769">
              <w:rPr>
                <w:rFonts w:ascii="Arial" w:hAnsi="Arial" w:cs="Arial"/>
                <w:b/>
                <w:sz w:val="21"/>
                <w:szCs w:val="21"/>
              </w:rPr>
              <w:t>KYC</w:t>
            </w:r>
            <w:r w:rsidRPr="007212E1">
              <w:rPr>
                <w:rFonts w:ascii="Arial" w:hAnsi="Arial" w:cs="Arial"/>
                <w:sz w:val="21"/>
                <w:szCs w:val="21"/>
              </w:rPr>
              <w:t xml:space="preserve">) practices. Findings revealed areas of non-compliance among certain platforms, prompting the </w:t>
            </w:r>
            <w:r w:rsidR="00F72FB7">
              <w:rPr>
                <w:rFonts w:ascii="Arial" w:hAnsi="Arial" w:cs="Arial"/>
                <w:sz w:val="21"/>
                <w:szCs w:val="21"/>
              </w:rPr>
              <w:t xml:space="preserve">HK SFC’s </w:t>
            </w:r>
            <w:r w:rsidRPr="007212E1">
              <w:rPr>
                <w:rFonts w:ascii="Arial" w:hAnsi="Arial" w:cs="Arial"/>
                <w:sz w:val="21"/>
                <w:szCs w:val="21"/>
              </w:rPr>
              <w:t>issuance of detailed guidelines to ensure robust system management, adherence to legal obligations, and improved client protection.</w:t>
            </w:r>
          </w:p>
        </w:tc>
      </w:tr>
      <w:tr w:rsidR="00FF6BCB" w:rsidTr="00FF6BCB">
        <w:tc>
          <w:tcPr>
            <w:tcW w:w="0" w:type="auto"/>
            <w:tcMar>
              <w:top w:w="0" w:type="dxa"/>
              <w:left w:w="225" w:type="dxa"/>
              <w:bottom w:w="0" w:type="dxa"/>
              <w:right w:w="225" w:type="dxa"/>
            </w:tcMar>
            <w:vAlign w:val="center"/>
            <w:hideMark/>
          </w:tcPr>
          <w:p w:rsidR="00FF6BCB" w:rsidRPr="007212E1" w:rsidRDefault="00FF6BCB">
            <w:pPr>
              <w:pStyle w:val="text-build-content"/>
              <w:spacing w:before="150" w:after="150" w:line="330" w:lineRule="exact"/>
              <w:jc w:val="both"/>
              <w:rPr>
                <w:rFonts w:ascii="Verdana" w:hAnsi="Verdana"/>
                <w:sz w:val="21"/>
                <w:szCs w:val="21"/>
              </w:rPr>
            </w:pPr>
            <w:r w:rsidRPr="007212E1">
              <w:rPr>
                <w:rFonts w:ascii="Arial" w:hAnsi="Arial" w:cs="Arial"/>
                <w:sz w:val="21"/>
                <w:szCs w:val="21"/>
              </w:rPr>
              <w:t xml:space="preserve">The standards, </w:t>
            </w:r>
            <w:r w:rsidR="00F72FB7">
              <w:rPr>
                <w:rFonts w:ascii="Arial" w:hAnsi="Arial" w:cs="Arial"/>
                <w:sz w:val="21"/>
                <w:szCs w:val="21"/>
              </w:rPr>
              <w:t xml:space="preserve">set out </w:t>
            </w:r>
            <w:r w:rsidRPr="007212E1">
              <w:rPr>
                <w:rFonts w:ascii="Arial" w:hAnsi="Arial" w:cs="Arial"/>
                <w:sz w:val="21"/>
                <w:szCs w:val="21"/>
              </w:rPr>
              <w:t xml:space="preserve">in Appendix 1 of </w:t>
            </w:r>
            <w:r w:rsidR="00F72FB7">
              <w:rPr>
                <w:rFonts w:ascii="Arial" w:hAnsi="Arial" w:cs="Arial"/>
                <w:sz w:val="21"/>
                <w:szCs w:val="21"/>
              </w:rPr>
              <w:t>the</w:t>
            </w:r>
            <w:r w:rsidRPr="007212E1">
              <w:rPr>
                <w:rFonts w:ascii="Arial" w:hAnsi="Arial" w:cs="Arial"/>
                <w:sz w:val="21"/>
                <w:szCs w:val="21"/>
              </w:rPr>
              <w:t xml:space="preserve">  </w:t>
            </w:r>
            <w:hyperlink r:id="rId13" w:history="1">
              <w:r w:rsidR="00F72FB7" w:rsidRPr="001446C7">
                <w:rPr>
                  <w:rStyle w:val="af"/>
                  <w:rFonts w:ascii="Arial" w:hAnsi="Arial" w:cs="Arial"/>
                  <w:color w:val="FF0000"/>
                  <w:sz w:val="21"/>
                  <w:szCs w:val="21"/>
                </w:rPr>
                <w:t>C</w:t>
              </w:r>
              <w:r w:rsidRPr="001446C7">
                <w:rPr>
                  <w:rStyle w:val="af"/>
                  <w:rFonts w:ascii="Arial" w:hAnsi="Arial" w:cs="Arial"/>
                  <w:color w:val="FF0000"/>
                  <w:sz w:val="21"/>
                  <w:szCs w:val="21"/>
                </w:rPr>
                <w:t>ircular</w:t>
              </w:r>
              <w:r w:rsidR="00F72FB7" w:rsidRPr="001446C7">
                <w:rPr>
                  <w:rStyle w:val="af"/>
                  <w:rFonts w:ascii="Arial" w:hAnsi="Arial" w:cs="Arial"/>
                  <w:color w:val="FF0000"/>
                  <w:sz w:val="21"/>
                  <w:szCs w:val="21"/>
                </w:rPr>
                <w:t xml:space="preserve"> to Licensed Corporations, SFC-licensed Virtual Asset Service Providers and Associated Entities — Findings from inspections on deemed-to-be-licensed virtual asset trading platform applicants and expected standards of conduct for virtual asset trading platform </w:t>
              </w:r>
              <w:proofErr w:type="spellStart"/>
              <w:r w:rsidR="00F72FB7" w:rsidRPr="001446C7">
                <w:rPr>
                  <w:rStyle w:val="af"/>
                  <w:rFonts w:ascii="Arial" w:hAnsi="Arial" w:cs="Arial"/>
                  <w:color w:val="FF0000"/>
                  <w:sz w:val="21"/>
                  <w:szCs w:val="21"/>
                </w:rPr>
                <w:t>opertors</w:t>
              </w:r>
              <w:proofErr w:type="spellEnd"/>
            </w:hyperlink>
            <w:r w:rsidRPr="007212E1">
              <w:rPr>
                <w:rFonts w:ascii="Arial" w:hAnsi="Arial" w:cs="Arial"/>
                <w:sz w:val="21"/>
                <w:szCs w:val="21"/>
              </w:rPr>
              <w:t>, target operational areas including cybersecurity, asset protection, and KYC compliance.</w:t>
            </w:r>
          </w:p>
        </w:tc>
      </w:tr>
      <w:tr w:rsidR="00FF6BCB" w:rsidTr="00FF6BCB">
        <w:tc>
          <w:tcPr>
            <w:tcW w:w="0" w:type="auto"/>
            <w:tcMar>
              <w:top w:w="0" w:type="dxa"/>
              <w:left w:w="225" w:type="dxa"/>
              <w:bottom w:w="0" w:type="dxa"/>
              <w:right w:w="225" w:type="dxa"/>
            </w:tcMar>
            <w:vAlign w:val="center"/>
            <w:hideMark/>
          </w:tcPr>
          <w:p w:rsidR="00FF6BCB" w:rsidRPr="007212E1" w:rsidRDefault="00FF6BCB">
            <w:pPr>
              <w:pStyle w:val="text-build-content"/>
              <w:spacing w:before="150" w:after="150" w:line="330" w:lineRule="exact"/>
              <w:jc w:val="both"/>
              <w:rPr>
                <w:rFonts w:ascii="Verdana" w:hAnsi="Verdana"/>
                <w:sz w:val="21"/>
                <w:szCs w:val="21"/>
              </w:rPr>
            </w:pPr>
            <w:r w:rsidRPr="007212E1">
              <w:rPr>
                <w:rFonts w:ascii="Arial" w:hAnsi="Arial" w:cs="Arial"/>
                <w:sz w:val="21"/>
                <w:szCs w:val="21"/>
              </w:rPr>
              <w:t xml:space="preserve">The HK SFC identified deficiencies in VATP cybersecurity, with issues such as inadequate network segmentation, outdated encryption algorithms, and weak access controls. To counter these risks, the HK SFC mandates advanced network segregation techniques, holistic privileged access management frameworks, and real-time monitoring through 24/7 security operations </w:t>
            </w:r>
            <w:proofErr w:type="spellStart"/>
            <w:r w:rsidRPr="007212E1">
              <w:rPr>
                <w:rFonts w:ascii="Arial" w:hAnsi="Arial" w:cs="Arial"/>
                <w:sz w:val="21"/>
                <w:szCs w:val="21"/>
              </w:rPr>
              <w:t>centres</w:t>
            </w:r>
            <w:proofErr w:type="spellEnd"/>
            <w:r w:rsidRPr="007212E1">
              <w:rPr>
                <w:rFonts w:ascii="Arial" w:hAnsi="Arial" w:cs="Arial"/>
                <w:sz w:val="21"/>
                <w:szCs w:val="21"/>
              </w:rPr>
              <w:t xml:space="preserve">. Strong encryption must now secure all data storage and transmission, replacing vulnerable methods observed during inspections. Automated systems to detect </w:t>
            </w:r>
            <w:proofErr w:type="spellStart"/>
            <w:r w:rsidRPr="007212E1">
              <w:rPr>
                <w:rFonts w:ascii="Arial" w:hAnsi="Arial" w:cs="Arial"/>
                <w:sz w:val="21"/>
                <w:szCs w:val="21"/>
              </w:rPr>
              <w:t>unauthorised</w:t>
            </w:r>
            <w:proofErr w:type="spellEnd"/>
            <w:r w:rsidRPr="007212E1">
              <w:rPr>
                <w:rFonts w:ascii="Arial" w:hAnsi="Arial" w:cs="Arial"/>
                <w:sz w:val="21"/>
                <w:szCs w:val="21"/>
              </w:rPr>
              <w:t xml:space="preserve"> access to client accounts are also required to safeguard against hacking and fraud.</w:t>
            </w:r>
          </w:p>
        </w:tc>
      </w:tr>
      <w:tr w:rsidR="00FF6BCB" w:rsidTr="00FF6BCB">
        <w:tc>
          <w:tcPr>
            <w:tcW w:w="0" w:type="auto"/>
            <w:tcMar>
              <w:top w:w="0" w:type="dxa"/>
              <w:left w:w="225" w:type="dxa"/>
              <w:bottom w:w="0" w:type="dxa"/>
              <w:right w:w="225" w:type="dxa"/>
            </w:tcMar>
            <w:vAlign w:val="center"/>
            <w:hideMark/>
          </w:tcPr>
          <w:p w:rsidR="00FF6BCB" w:rsidRPr="007212E1" w:rsidRDefault="00FF6BCB">
            <w:pPr>
              <w:pStyle w:val="text-build-content"/>
              <w:spacing w:before="150" w:after="150" w:line="330" w:lineRule="exact"/>
              <w:jc w:val="both"/>
              <w:rPr>
                <w:rFonts w:ascii="Verdana" w:hAnsi="Verdana"/>
                <w:sz w:val="21"/>
                <w:szCs w:val="21"/>
              </w:rPr>
            </w:pPr>
            <w:r w:rsidRPr="007212E1">
              <w:rPr>
                <w:rFonts w:ascii="Arial" w:hAnsi="Arial" w:cs="Arial"/>
                <w:sz w:val="21"/>
                <w:szCs w:val="21"/>
              </w:rPr>
              <w:t xml:space="preserve">The protection of client assets was another area of focus for </w:t>
            </w:r>
            <w:r w:rsidR="00713324">
              <w:rPr>
                <w:rFonts w:ascii="Arial" w:hAnsi="Arial" w:cs="Arial"/>
                <w:sz w:val="21"/>
                <w:szCs w:val="21"/>
              </w:rPr>
              <w:t xml:space="preserve">the </w:t>
            </w:r>
            <w:r w:rsidRPr="007212E1">
              <w:rPr>
                <w:rFonts w:ascii="Arial" w:hAnsi="Arial" w:cs="Arial"/>
                <w:sz w:val="21"/>
                <w:szCs w:val="21"/>
              </w:rPr>
              <w:t>HK</w:t>
            </w:r>
            <w:r w:rsidR="00713324">
              <w:rPr>
                <w:rFonts w:ascii="Arial" w:hAnsi="Arial" w:cs="Arial"/>
                <w:sz w:val="21"/>
                <w:szCs w:val="21"/>
              </w:rPr>
              <w:t xml:space="preserve"> </w:t>
            </w:r>
            <w:r w:rsidRPr="007212E1">
              <w:rPr>
                <w:rFonts w:ascii="Arial" w:hAnsi="Arial" w:cs="Arial"/>
                <w:sz w:val="21"/>
                <w:szCs w:val="21"/>
              </w:rPr>
              <w:t xml:space="preserve">SFC. The HK SFC elaborated on failures in segregating client funds from operational assets, improper wallet management, and breaches of the mandated “98/2 cold-to-hot wallet ratio.” Platforms must </w:t>
            </w:r>
            <w:r w:rsidR="00B66A8A">
              <w:rPr>
                <w:rFonts w:ascii="Arial" w:hAnsi="Arial" w:cs="Arial"/>
                <w:sz w:val="21"/>
                <w:szCs w:val="21"/>
              </w:rPr>
              <w:t xml:space="preserve">implement procedures to ensure that </w:t>
            </w:r>
            <w:r w:rsidRPr="007212E1">
              <w:rPr>
                <w:rFonts w:ascii="Arial" w:hAnsi="Arial" w:cs="Arial"/>
                <w:sz w:val="21"/>
                <w:szCs w:val="21"/>
              </w:rPr>
              <w:t xml:space="preserve">98% of client assets </w:t>
            </w:r>
            <w:r w:rsidR="00B66A8A">
              <w:rPr>
                <w:rFonts w:ascii="Arial" w:hAnsi="Arial" w:cs="Arial"/>
                <w:sz w:val="21"/>
                <w:szCs w:val="21"/>
              </w:rPr>
              <w:t xml:space="preserve">are stored </w:t>
            </w:r>
            <w:r w:rsidRPr="007212E1">
              <w:rPr>
                <w:rFonts w:ascii="Arial" w:hAnsi="Arial" w:cs="Arial"/>
                <w:sz w:val="21"/>
                <w:szCs w:val="21"/>
              </w:rPr>
              <w:t>in cold wallets, implement wallet address whitelisting</w:t>
            </w:r>
            <w:r w:rsidR="00B66A8A">
              <w:rPr>
                <w:rFonts w:ascii="Arial" w:hAnsi="Arial" w:cs="Arial"/>
                <w:sz w:val="21"/>
                <w:szCs w:val="21"/>
              </w:rPr>
              <w:t xml:space="preserve"> for withdrawals of client virtual assets</w:t>
            </w:r>
            <w:r w:rsidRPr="007212E1">
              <w:rPr>
                <w:rFonts w:ascii="Arial" w:hAnsi="Arial" w:cs="Arial"/>
                <w:sz w:val="21"/>
                <w:szCs w:val="21"/>
              </w:rPr>
              <w:t xml:space="preserve">, and secure private keys in certified environments within Hong Kong. Strict protocols for large withdrawals and deposits are required to </w:t>
            </w:r>
            <w:proofErr w:type="spellStart"/>
            <w:r w:rsidRPr="007212E1">
              <w:rPr>
                <w:rFonts w:ascii="Arial" w:hAnsi="Arial" w:cs="Arial"/>
                <w:sz w:val="21"/>
                <w:szCs w:val="21"/>
              </w:rPr>
              <w:t>minimise</w:t>
            </w:r>
            <w:proofErr w:type="spellEnd"/>
            <w:r w:rsidRPr="007212E1">
              <w:rPr>
                <w:rFonts w:ascii="Arial" w:hAnsi="Arial" w:cs="Arial"/>
                <w:sz w:val="21"/>
                <w:szCs w:val="21"/>
              </w:rPr>
              <w:t xml:space="preserve"> exposure to cyber threats and operational errors.</w:t>
            </w:r>
          </w:p>
        </w:tc>
      </w:tr>
      <w:tr w:rsidR="00FF6BCB" w:rsidTr="00FF6BCB">
        <w:tc>
          <w:tcPr>
            <w:tcW w:w="0" w:type="auto"/>
            <w:tcMar>
              <w:top w:w="0" w:type="dxa"/>
              <w:left w:w="225" w:type="dxa"/>
              <w:bottom w:w="0" w:type="dxa"/>
              <w:right w:w="225" w:type="dxa"/>
            </w:tcMar>
            <w:vAlign w:val="center"/>
            <w:hideMark/>
          </w:tcPr>
          <w:p w:rsidR="00FF6BCB" w:rsidRPr="007212E1" w:rsidRDefault="00FF6BCB">
            <w:pPr>
              <w:pStyle w:val="text-build-content"/>
              <w:spacing w:before="150" w:after="150" w:line="330" w:lineRule="exact"/>
              <w:jc w:val="both"/>
              <w:rPr>
                <w:rFonts w:ascii="Verdana" w:hAnsi="Verdana"/>
                <w:sz w:val="21"/>
                <w:szCs w:val="21"/>
              </w:rPr>
            </w:pPr>
            <w:r w:rsidRPr="007212E1">
              <w:rPr>
                <w:rFonts w:ascii="Arial" w:hAnsi="Arial" w:cs="Arial"/>
                <w:sz w:val="21"/>
                <w:szCs w:val="21"/>
              </w:rPr>
              <w:t>The HK SFC now requires VATPs to establish detailed recovery plans and ensure restoration of custody systems within 12 hours of a disruption. Platforms must also maintain fully functional backup facilities with equivalent security standards to primary sites and conduct regular tests to validate their recovery strategies.</w:t>
            </w:r>
          </w:p>
        </w:tc>
      </w:tr>
      <w:tr w:rsidR="00FF6BCB" w:rsidTr="00FF6BCB">
        <w:tc>
          <w:tcPr>
            <w:tcW w:w="0" w:type="auto"/>
            <w:tcMar>
              <w:top w:w="0" w:type="dxa"/>
              <w:left w:w="225" w:type="dxa"/>
              <w:bottom w:w="0" w:type="dxa"/>
              <w:right w:w="225" w:type="dxa"/>
            </w:tcMar>
            <w:vAlign w:val="center"/>
            <w:hideMark/>
          </w:tcPr>
          <w:p w:rsidR="00FF6BCB" w:rsidRPr="007212E1" w:rsidRDefault="00FF6BCB">
            <w:pPr>
              <w:pStyle w:val="text-build-content"/>
              <w:spacing w:before="150" w:after="150" w:line="330" w:lineRule="exact"/>
              <w:jc w:val="both"/>
              <w:rPr>
                <w:rFonts w:ascii="Verdana" w:hAnsi="Verdana"/>
                <w:sz w:val="21"/>
                <w:szCs w:val="21"/>
              </w:rPr>
            </w:pPr>
            <w:r w:rsidRPr="007212E1">
              <w:rPr>
                <w:rFonts w:ascii="Arial" w:hAnsi="Arial" w:cs="Arial"/>
                <w:sz w:val="21"/>
                <w:szCs w:val="21"/>
              </w:rPr>
              <w:lastRenderedPageBreak/>
              <w:t xml:space="preserve">The HK SFC also highlighted deficiencies in client access monitoring and control. Several platforms were found to allow </w:t>
            </w:r>
            <w:proofErr w:type="spellStart"/>
            <w:r w:rsidRPr="007212E1">
              <w:rPr>
                <w:rFonts w:ascii="Arial" w:hAnsi="Arial" w:cs="Arial"/>
                <w:sz w:val="21"/>
                <w:szCs w:val="21"/>
              </w:rPr>
              <w:t>unauthorised</w:t>
            </w:r>
            <w:proofErr w:type="spellEnd"/>
            <w:r w:rsidRPr="007212E1">
              <w:rPr>
                <w:rFonts w:ascii="Arial" w:hAnsi="Arial" w:cs="Arial"/>
                <w:sz w:val="21"/>
                <w:szCs w:val="21"/>
              </w:rPr>
              <w:t xml:space="preserve"> access from restricted jurisdictions</w:t>
            </w:r>
            <w:r w:rsidR="00E81E04">
              <w:rPr>
                <w:rStyle w:val="af1"/>
                <w:rFonts w:ascii="Arial" w:hAnsi="Arial" w:cs="Arial"/>
                <w:sz w:val="21"/>
                <w:szCs w:val="21"/>
              </w:rPr>
              <w:footnoteReference w:id="1"/>
            </w:r>
            <w:r w:rsidRPr="007212E1">
              <w:rPr>
                <w:rFonts w:ascii="Arial" w:hAnsi="Arial" w:cs="Arial"/>
                <w:sz w:val="21"/>
                <w:szCs w:val="21"/>
              </w:rPr>
              <w:t xml:space="preserve"> or lacked adequate geolocation tools to block such activities. VATPs must now implement advanced geolocation systems, regularly evaluate monitoring tools, and document their compliance efforts to ensure that only </w:t>
            </w:r>
            <w:proofErr w:type="spellStart"/>
            <w:r w:rsidRPr="007212E1">
              <w:rPr>
                <w:rFonts w:ascii="Arial" w:hAnsi="Arial" w:cs="Arial"/>
                <w:sz w:val="21"/>
                <w:szCs w:val="21"/>
              </w:rPr>
              <w:t>authorised</w:t>
            </w:r>
            <w:proofErr w:type="spellEnd"/>
            <w:r w:rsidRPr="007212E1">
              <w:rPr>
                <w:rFonts w:ascii="Arial" w:hAnsi="Arial" w:cs="Arial"/>
                <w:sz w:val="21"/>
                <w:szCs w:val="21"/>
              </w:rPr>
              <w:t xml:space="preserve"> users access their services.</w:t>
            </w:r>
          </w:p>
        </w:tc>
      </w:tr>
      <w:tr w:rsidR="00FF6BCB" w:rsidTr="00FF6BCB">
        <w:tc>
          <w:tcPr>
            <w:tcW w:w="0" w:type="auto"/>
            <w:tcMar>
              <w:top w:w="0" w:type="dxa"/>
              <w:left w:w="225" w:type="dxa"/>
              <w:bottom w:w="0" w:type="dxa"/>
              <w:right w:w="225" w:type="dxa"/>
            </w:tcMar>
            <w:vAlign w:val="center"/>
            <w:hideMark/>
          </w:tcPr>
          <w:p w:rsidR="00FF6BCB" w:rsidRPr="007212E1" w:rsidRDefault="00FF6BCB">
            <w:pPr>
              <w:pStyle w:val="text-build-content"/>
              <w:spacing w:before="150" w:after="150" w:line="330" w:lineRule="exact"/>
              <w:jc w:val="both"/>
              <w:rPr>
                <w:rFonts w:ascii="Verdana" w:hAnsi="Verdana"/>
                <w:sz w:val="21"/>
                <w:szCs w:val="21"/>
              </w:rPr>
            </w:pPr>
            <w:r w:rsidRPr="007212E1">
              <w:rPr>
                <w:rFonts w:ascii="Arial" w:hAnsi="Arial" w:cs="Arial"/>
                <w:sz w:val="21"/>
                <w:szCs w:val="21"/>
              </w:rPr>
              <w:t xml:space="preserve">Insurance and compensation arrangements for client assets were </w:t>
            </w:r>
            <w:proofErr w:type="spellStart"/>
            <w:r w:rsidR="00FA394B">
              <w:rPr>
                <w:rFonts w:ascii="Arial" w:hAnsi="Arial" w:cs="Arial"/>
                <w:sz w:val="21"/>
                <w:szCs w:val="21"/>
              </w:rPr>
              <w:t>scrutinised</w:t>
            </w:r>
            <w:proofErr w:type="spellEnd"/>
            <w:r w:rsidR="00FA394B">
              <w:rPr>
                <w:rFonts w:ascii="Arial" w:hAnsi="Arial" w:cs="Arial"/>
                <w:sz w:val="21"/>
                <w:szCs w:val="21"/>
              </w:rPr>
              <w:t xml:space="preserve"> for compliance </w:t>
            </w:r>
            <w:r w:rsidRPr="007212E1">
              <w:rPr>
                <w:rFonts w:ascii="Arial" w:hAnsi="Arial" w:cs="Arial"/>
                <w:sz w:val="21"/>
                <w:szCs w:val="21"/>
              </w:rPr>
              <w:t>with platforms</w:t>
            </w:r>
            <w:r w:rsidR="00FA394B">
              <w:rPr>
                <w:rFonts w:ascii="Arial" w:hAnsi="Arial" w:cs="Arial"/>
                <w:sz w:val="21"/>
                <w:szCs w:val="21"/>
              </w:rPr>
              <w:t>’ obligation</w:t>
            </w:r>
            <w:r w:rsidRPr="007212E1">
              <w:rPr>
                <w:rFonts w:ascii="Arial" w:hAnsi="Arial" w:cs="Arial"/>
                <w:sz w:val="21"/>
                <w:szCs w:val="21"/>
              </w:rPr>
              <w:t xml:space="preserve"> to maintain policies that cover 50% of assets in cold wallets and 100% in hot wallets. </w:t>
            </w:r>
            <w:r w:rsidR="00FA394B">
              <w:rPr>
                <w:rFonts w:ascii="Arial" w:hAnsi="Arial" w:cs="Arial"/>
                <w:sz w:val="21"/>
                <w:szCs w:val="21"/>
              </w:rPr>
              <w:t>The new standards require VATP o</w:t>
            </w:r>
            <w:r w:rsidRPr="007212E1">
              <w:rPr>
                <w:rFonts w:ascii="Arial" w:hAnsi="Arial" w:cs="Arial"/>
                <w:sz w:val="21"/>
                <w:szCs w:val="21"/>
              </w:rPr>
              <w:t xml:space="preserve">perators </w:t>
            </w:r>
            <w:r w:rsidR="00FA394B">
              <w:rPr>
                <w:rFonts w:ascii="Arial" w:hAnsi="Arial" w:cs="Arial"/>
                <w:sz w:val="21"/>
                <w:szCs w:val="21"/>
              </w:rPr>
              <w:t xml:space="preserve">to </w:t>
            </w:r>
            <w:r w:rsidRPr="007212E1">
              <w:rPr>
                <w:rFonts w:ascii="Arial" w:hAnsi="Arial" w:cs="Arial"/>
                <w:sz w:val="21"/>
                <w:szCs w:val="21"/>
              </w:rPr>
              <w:t>evaluate these policies for adequacy, including reviewing exclusions and deductibles, to guarantee client protection in cases of loss or fraud.</w:t>
            </w:r>
          </w:p>
        </w:tc>
      </w:tr>
      <w:tr w:rsidR="00FF6BCB" w:rsidTr="00FF6BCB">
        <w:tc>
          <w:tcPr>
            <w:tcW w:w="0" w:type="auto"/>
            <w:tcMar>
              <w:top w:w="0" w:type="dxa"/>
              <w:left w:w="225" w:type="dxa"/>
              <w:bottom w:w="0" w:type="dxa"/>
              <w:right w:w="225" w:type="dxa"/>
            </w:tcMar>
            <w:vAlign w:val="center"/>
            <w:hideMark/>
          </w:tcPr>
          <w:p w:rsidR="00FF6BCB" w:rsidRPr="007212E1" w:rsidRDefault="00B300DA">
            <w:pPr>
              <w:pStyle w:val="text-build-content"/>
              <w:spacing w:before="150" w:after="150" w:line="330" w:lineRule="exact"/>
              <w:jc w:val="both"/>
              <w:rPr>
                <w:rFonts w:ascii="Verdana" w:hAnsi="Verdana"/>
                <w:sz w:val="21"/>
                <w:szCs w:val="21"/>
              </w:rPr>
            </w:pPr>
            <w:r>
              <w:rPr>
                <w:rFonts w:ascii="Arial" w:hAnsi="Arial" w:cs="Arial"/>
                <w:sz w:val="21"/>
                <w:szCs w:val="21"/>
              </w:rPr>
              <w:t>T</w:t>
            </w:r>
            <w:r w:rsidR="00FF6BCB" w:rsidRPr="007212E1">
              <w:rPr>
                <w:rFonts w:ascii="Arial" w:hAnsi="Arial" w:cs="Arial"/>
                <w:sz w:val="21"/>
                <w:szCs w:val="21"/>
              </w:rPr>
              <w:t>he HK SFC identified lapses in financial management, including delays in transferring client</w:t>
            </w:r>
            <w:r>
              <w:rPr>
                <w:rFonts w:ascii="Arial" w:hAnsi="Arial" w:cs="Arial"/>
                <w:sz w:val="21"/>
                <w:szCs w:val="21"/>
              </w:rPr>
              <w:t xml:space="preserve"> </w:t>
            </w:r>
            <w:proofErr w:type="gramStart"/>
            <w:r>
              <w:rPr>
                <w:rFonts w:ascii="Arial" w:hAnsi="Arial" w:cs="Arial"/>
                <w:sz w:val="21"/>
                <w:szCs w:val="21"/>
              </w:rPr>
              <w:t xml:space="preserve">funds </w:t>
            </w:r>
            <w:r w:rsidR="00FF6BCB" w:rsidRPr="007212E1">
              <w:rPr>
                <w:rFonts w:ascii="Arial" w:hAnsi="Arial" w:cs="Arial"/>
                <w:sz w:val="21"/>
                <w:szCs w:val="21"/>
              </w:rPr>
              <w:t xml:space="preserve"> to</w:t>
            </w:r>
            <w:proofErr w:type="gramEnd"/>
            <w:r>
              <w:rPr>
                <w:rFonts w:ascii="Arial" w:hAnsi="Arial" w:cs="Arial"/>
                <w:sz w:val="21"/>
                <w:szCs w:val="21"/>
              </w:rPr>
              <w:t xml:space="preserve"> the</w:t>
            </w:r>
            <w:r w:rsidR="00FF6BCB" w:rsidRPr="007212E1">
              <w:rPr>
                <w:rFonts w:ascii="Arial" w:hAnsi="Arial" w:cs="Arial"/>
                <w:sz w:val="21"/>
                <w:szCs w:val="21"/>
              </w:rPr>
              <w:t xml:space="preserve"> segregated account</w:t>
            </w:r>
            <w:r>
              <w:rPr>
                <w:rFonts w:ascii="Arial" w:hAnsi="Arial" w:cs="Arial"/>
                <w:sz w:val="21"/>
                <w:szCs w:val="21"/>
              </w:rPr>
              <w:t xml:space="preserve"> of the VATP operator’</w:t>
            </w:r>
            <w:r w:rsidR="00FF6BCB" w:rsidRPr="007212E1">
              <w:rPr>
                <w:rFonts w:ascii="Arial" w:hAnsi="Arial" w:cs="Arial"/>
                <w:sz w:val="21"/>
                <w:szCs w:val="21"/>
              </w:rPr>
              <w:t xml:space="preserve">s </w:t>
            </w:r>
            <w:r>
              <w:rPr>
                <w:rFonts w:ascii="Arial" w:hAnsi="Arial" w:cs="Arial"/>
                <w:sz w:val="21"/>
                <w:szCs w:val="21"/>
              </w:rPr>
              <w:t xml:space="preserve">associated entity </w:t>
            </w:r>
            <w:r w:rsidR="00FF6BCB" w:rsidRPr="007212E1">
              <w:rPr>
                <w:rFonts w:ascii="Arial" w:hAnsi="Arial" w:cs="Arial"/>
                <w:sz w:val="21"/>
                <w:szCs w:val="21"/>
              </w:rPr>
              <w:t xml:space="preserve">and weak controls over bank account operations. VATPs are now required to ensure that client funds are directly deposited into </w:t>
            </w:r>
            <w:r>
              <w:rPr>
                <w:rFonts w:ascii="Arial" w:hAnsi="Arial" w:cs="Arial"/>
                <w:sz w:val="21"/>
                <w:szCs w:val="21"/>
              </w:rPr>
              <w:t>their associated entity’s</w:t>
            </w:r>
            <w:r w:rsidRPr="007212E1">
              <w:rPr>
                <w:rFonts w:ascii="Arial" w:hAnsi="Arial" w:cs="Arial"/>
                <w:sz w:val="21"/>
                <w:szCs w:val="21"/>
              </w:rPr>
              <w:t xml:space="preserve"> </w:t>
            </w:r>
            <w:r w:rsidR="00FF6BCB" w:rsidRPr="007212E1">
              <w:rPr>
                <w:rFonts w:ascii="Arial" w:hAnsi="Arial" w:cs="Arial"/>
                <w:sz w:val="21"/>
                <w:szCs w:val="21"/>
              </w:rPr>
              <w:t xml:space="preserve">segregated account and to implement stringent dual signatory arrangements for bank transactions to </w:t>
            </w:r>
            <w:proofErr w:type="spellStart"/>
            <w:r w:rsidR="00FF6BCB" w:rsidRPr="007212E1">
              <w:rPr>
                <w:rFonts w:ascii="Arial" w:hAnsi="Arial" w:cs="Arial"/>
                <w:sz w:val="21"/>
                <w:szCs w:val="21"/>
              </w:rPr>
              <w:t>minimise</w:t>
            </w:r>
            <w:proofErr w:type="spellEnd"/>
            <w:r w:rsidR="00FF6BCB" w:rsidRPr="007212E1">
              <w:rPr>
                <w:rFonts w:ascii="Arial" w:hAnsi="Arial" w:cs="Arial"/>
                <w:sz w:val="21"/>
                <w:szCs w:val="21"/>
              </w:rPr>
              <w:t xml:space="preserve"> fraud risks.</w:t>
            </w:r>
          </w:p>
        </w:tc>
      </w:tr>
      <w:tr w:rsidR="00FF6BCB" w:rsidTr="00FF6BCB">
        <w:tc>
          <w:tcPr>
            <w:tcW w:w="0" w:type="auto"/>
            <w:tcMar>
              <w:top w:w="0" w:type="dxa"/>
              <w:left w:w="225" w:type="dxa"/>
              <w:bottom w:w="0" w:type="dxa"/>
              <w:right w:w="225" w:type="dxa"/>
            </w:tcMar>
            <w:vAlign w:val="center"/>
            <w:hideMark/>
          </w:tcPr>
          <w:p w:rsidR="00FF6BCB" w:rsidRPr="007212E1" w:rsidRDefault="00FF6BCB">
            <w:pPr>
              <w:pStyle w:val="text-build-content"/>
              <w:spacing w:before="150" w:after="150" w:line="330" w:lineRule="exact"/>
              <w:jc w:val="both"/>
              <w:rPr>
                <w:rFonts w:ascii="Verdana" w:hAnsi="Verdana"/>
                <w:sz w:val="21"/>
                <w:szCs w:val="21"/>
              </w:rPr>
            </w:pPr>
            <w:r w:rsidRPr="007212E1">
              <w:rPr>
                <w:rFonts w:ascii="Arial" w:hAnsi="Arial" w:cs="Arial"/>
                <w:sz w:val="21"/>
                <w:szCs w:val="21"/>
              </w:rPr>
              <w:t xml:space="preserve">Under the new standards, VATPs must implement stringent cybersecurity measures, including secure network segmentation, privileged access management, and encryption protocols. Platforms are required to monitor systems in real time and maintain continuous security operations to promptly address potential threats. Enhanced controls over client assets are mandated, such as segregation of funds, compliance with </w:t>
            </w:r>
            <w:r w:rsidR="00256BB8">
              <w:rPr>
                <w:rFonts w:ascii="Arial" w:hAnsi="Arial" w:cs="Arial"/>
                <w:sz w:val="21"/>
                <w:szCs w:val="21"/>
              </w:rPr>
              <w:t>the</w:t>
            </w:r>
            <w:r w:rsidRPr="007212E1">
              <w:rPr>
                <w:rFonts w:ascii="Arial" w:hAnsi="Arial" w:cs="Arial"/>
                <w:sz w:val="21"/>
                <w:szCs w:val="21"/>
              </w:rPr>
              <w:t xml:space="preserve"> 98/2 cold-to-hot wallet storage ratio, and stricter oversight of private key access.</w:t>
            </w:r>
          </w:p>
        </w:tc>
      </w:tr>
      <w:tr w:rsidR="00FF6BCB" w:rsidTr="00FF6BCB">
        <w:tc>
          <w:tcPr>
            <w:tcW w:w="0" w:type="auto"/>
            <w:tcMar>
              <w:top w:w="0" w:type="dxa"/>
              <w:left w:w="225" w:type="dxa"/>
              <w:bottom w:w="0" w:type="dxa"/>
              <w:right w:w="225" w:type="dxa"/>
            </w:tcMar>
            <w:vAlign w:val="center"/>
            <w:hideMark/>
          </w:tcPr>
          <w:p w:rsidR="00FF6BCB" w:rsidRPr="007212E1" w:rsidRDefault="00FF6BCB">
            <w:pPr>
              <w:pStyle w:val="text-build-content"/>
              <w:spacing w:before="150" w:after="150" w:line="330" w:lineRule="exact"/>
              <w:jc w:val="both"/>
              <w:rPr>
                <w:rFonts w:ascii="Verdana" w:hAnsi="Verdana"/>
                <w:sz w:val="21"/>
                <w:szCs w:val="21"/>
              </w:rPr>
            </w:pPr>
            <w:r w:rsidRPr="007212E1">
              <w:rPr>
                <w:rFonts w:ascii="Arial" w:hAnsi="Arial" w:cs="Arial"/>
                <w:sz w:val="21"/>
                <w:szCs w:val="21"/>
              </w:rPr>
              <w:t xml:space="preserve">VATPs must also establish rigorous KYC procedures and geolocation tools to prevent </w:t>
            </w:r>
            <w:proofErr w:type="spellStart"/>
            <w:r w:rsidRPr="007212E1">
              <w:rPr>
                <w:rFonts w:ascii="Arial" w:hAnsi="Arial" w:cs="Arial"/>
                <w:sz w:val="21"/>
                <w:szCs w:val="21"/>
              </w:rPr>
              <w:t>unauthorised</w:t>
            </w:r>
            <w:proofErr w:type="spellEnd"/>
            <w:r w:rsidRPr="007212E1">
              <w:rPr>
                <w:rFonts w:ascii="Arial" w:hAnsi="Arial" w:cs="Arial"/>
                <w:sz w:val="21"/>
                <w:szCs w:val="21"/>
              </w:rPr>
              <w:t xml:space="preserve"> access, particularly from restricted jurisdictions.</w:t>
            </w:r>
          </w:p>
        </w:tc>
      </w:tr>
      <w:tr w:rsidR="00FF6BCB" w:rsidTr="00FF6BCB">
        <w:tc>
          <w:tcPr>
            <w:tcW w:w="0" w:type="auto"/>
            <w:tcMar>
              <w:top w:w="0" w:type="dxa"/>
              <w:left w:w="225" w:type="dxa"/>
              <w:bottom w:w="0" w:type="dxa"/>
              <w:right w:w="225" w:type="dxa"/>
            </w:tcMar>
            <w:vAlign w:val="center"/>
            <w:hideMark/>
          </w:tcPr>
          <w:p w:rsidR="00FF6BCB" w:rsidRPr="007212E1" w:rsidRDefault="00FF6BCB">
            <w:pPr>
              <w:pStyle w:val="text-build-content"/>
              <w:spacing w:before="150" w:after="150" w:line="330" w:lineRule="exact"/>
              <w:jc w:val="both"/>
              <w:rPr>
                <w:rFonts w:ascii="Verdana" w:hAnsi="Verdana"/>
                <w:sz w:val="21"/>
                <w:szCs w:val="21"/>
              </w:rPr>
            </w:pPr>
            <w:r w:rsidRPr="007212E1">
              <w:rPr>
                <w:rFonts w:ascii="Arial" w:hAnsi="Arial" w:cs="Arial"/>
                <w:sz w:val="21"/>
                <w:szCs w:val="21"/>
              </w:rPr>
              <w:t>These enhanced standards take effect immediately</w:t>
            </w:r>
            <w:r w:rsidR="00256BB8">
              <w:rPr>
                <w:rFonts w:ascii="Arial" w:hAnsi="Arial" w:cs="Arial"/>
                <w:sz w:val="21"/>
                <w:szCs w:val="21"/>
              </w:rPr>
              <w:t xml:space="preserve"> and</w:t>
            </w:r>
            <w:r w:rsidRPr="007212E1">
              <w:rPr>
                <w:rFonts w:ascii="Arial" w:hAnsi="Arial" w:cs="Arial"/>
                <w:sz w:val="21"/>
                <w:szCs w:val="21"/>
              </w:rPr>
              <w:t xml:space="preserve"> requir</w:t>
            </w:r>
            <w:r w:rsidR="00256BB8">
              <w:rPr>
                <w:rFonts w:ascii="Arial" w:hAnsi="Arial" w:cs="Arial"/>
                <w:sz w:val="21"/>
                <w:szCs w:val="21"/>
              </w:rPr>
              <w:t>e</w:t>
            </w:r>
            <w:r w:rsidRPr="007212E1">
              <w:rPr>
                <w:rFonts w:ascii="Arial" w:hAnsi="Arial" w:cs="Arial"/>
                <w:sz w:val="21"/>
                <w:szCs w:val="21"/>
              </w:rPr>
              <w:t xml:space="preserve"> </w:t>
            </w:r>
            <w:r w:rsidR="00256BB8">
              <w:rPr>
                <w:rFonts w:ascii="Arial" w:hAnsi="Arial" w:cs="Arial"/>
                <w:sz w:val="21"/>
                <w:szCs w:val="21"/>
              </w:rPr>
              <w:t xml:space="preserve">virtual asset trading </w:t>
            </w:r>
            <w:r w:rsidRPr="007212E1">
              <w:rPr>
                <w:rFonts w:ascii="Arial" w:hAnsi="Arial" w:cs="Arial"/>
                <w:sz w:val="21"/>
                <w:szCs w:val="21"/>
              </w:rPr>
              <w:t xml:space="preserve">platforms to </w:t>
            </w:r>
            <w:r w:rsidR="00256BB8">
              <w:rPr>
                <w:rFonts w:ascii="Arial" w:hAnsi="Arial" w:cs="Arial"/>
                <w:sz w:val="21"/>
                <w:szCs w:val="21"/>
              </w:rPr>
              <w:t>align their policies, procedures and systems with the new standards</w:t>
            </w:r>
            <w:r w:rsidRPr="007212E1">
              <w:rPr>
                <w:rFonts w:ascii="Arial" w:hAnsi="Arial" w:cs="Arial"/>
                <w:sz w:val="21"/>
                <w:szCs w:val="21"/>
              </w:rPr>
              <w:t>. Although the HK SFC has not set a specific compliance deadline, the directive highlights the urgency of aligning practices with the prescribed regulations to avoid penalties or operational risks.</w:t>
            </w:r>
          </w:p>
        </w:tc>
      </w:tr>
      <w:tr w:rsidR="00FF6BCB" w:rsidTr="00FF6BCB">
        <w:tc>
          <w:tcPr>
            <w:tcW w:w="0" w:type="auto"/>
            <w:tcMar>
              <w:top w:w="0" w:type="dxa"/>
              <w:left w:w="225" w:type="dxa"/>
              <w:bottom w:w="0" w:type="dxa"/>
              <w:right w:w="225" w:type="dxa"/>
            </w:tcMar>
            <w:vAlign w:val="center"/>
            <w:hideMark/>
          </w:tcPr>
          <w:p w:rsidR="00FF6BCB" w:rsidRDefault="00FF6BCB">
            <w:pPr>
              <w:pStyle w:val="text-build-content"/>
              <w:spacing w:before="150" w:after="150" w:line="330" w:lineRule="exact"/>
              <w:rPr>
                <w:rFonts w:ascii="Verdana" w:hAnsi="Verdana"/>
                <w:color w:val="000000"/>
                <w:sz w:val="21"/>
                <w:szCs w:val="21"/>
              </w:rPr>
            </w:pPr>
            <w:r w:rsidRPr="007212E1">
              <w:rPr>
                <w:rFonts w:ascii="Arial" w:hAnsi="Arial" w:cs="Arial"/>
                <w:sz w:val="21"/>
                <w:szCs w:val="21"/>
              </w:rPr>
              <w:t xml:space="preserve">(Source: </w:t>
            </w:r>
            <w:hyperlink r:id="rId14" w:tgtFrame="_blank" w:history="1">
              <w:r>
                <w:rPr>
                  <w:rStyle w:val="af"/>
                  <w:rFonts w:ascii="Arial" w:hAnsi="Arial" w:cs="Arial"/>
                  <w:color w:val="E61D24"/>
                  <w:sz w:val="21"/>
                  <w:szCs w:val="21"/>
                </w:rPr>
                <w:t>https://apps.sfc.hk/edistributionWeb/gateway/EN/circular/intermediaries/supervision/doc?refNo=25EC3</w:t>
              </w:r>
            </w:hyperlink>
            <w:r w:rsidRPr="007212E1">
              <w:rPr>
                <w:rFonts w:ascii="Arial" w:hAnsi="Arial" w:cs="Arial"/>
                <w:sz w:val="21"/>
                <w:szCs w:val="21"/>
              </w:rPr>
              <w:t>)</w:t>
            </w:r>
          </w:p>
        </w:tc>
      </w:tr>
      <w:tr w:rsidR="007212E1" w:rsidTr="007212E1">
        <w:tc>
          <w:tcPr>
            <w:tcW w:w="0" w:type="auto"/>
            <w:tcMar>
              <w:top w:w="0" w:type="dxa"/>
              <w:left w:w="225" w:type="dxa"/>
              <w:bottom w:w="0" w:type="dxa"/>
              <w:right w:w="225" w:type="dxa"/>
            </w:tcMar>
            <w:vAlign w:val="center"/>
            <w:hideMark/>
          </w:tcPr>
          <w:p w:rsidR="007212E1" w:rsidRPr="00AD2DE0" w:rsidRDefault="00AD2DE0" w:rsidP="00AD2DE0">
            <w:pPr>
              <w:pStyle w:val="a7"/>
              <w:jc w:val="center"/>
              <w:rPr>
                <w:rFonts w:ascii="Arial" w:hAnsi="Arial" w:cs="Arial"/>
                <w:sz w:val="30"/>
                <w:szCs w:val="30"/>
              </w:rPr>
            </w:pPr>
            <w:r w:rsidRPr="00AD2DE0">
              <w:rPr>
                <w:rFonts w:ascii="Arial" w:hAnsi="Arial" w:cs="Arial"/>
                <w:color w:val="FF0000"/>
                <w:sz w:val="30"/>
                <w:szCs w:val="30"/>
              </w:rPr>
              <w:t xml:space="preserve">HK SFC Fines Hang Seng Bank Limited HK$66.4 </w:t>
            </w:r>
            <w:proofErr w:type="gramStart"/>
            <w:r w:rsidRPr="00AD2DE0">
              <w:rPr>
                <w:rFonts w:ascii="Arial" w:hAnsi="Arial" w:cs="Arial"/>
                <w:color w:val="FF0000"/>
                <w:sz w:val="30"/>
                <w:szCs w:val="30"/>
              </w:rPr>
              <w:t>Million</w:t>
            </w:r>
            <w:proofErr w:type="gramEnd"/>
            <w:r w:rsidRPr="00AD2DE0">
              <w:rPr>
                <w:rFonts w:ascii="Arial" w:hAnsi="Arial" w:cs="Arial"/>
                <w:color w:val="FF0000"/>
                <w:sz w:val="30"/>
                <w:szCs w:val="30"/>
              </w:rPr>
              <w:t xml:space="preserve"> for Misconduct in Sales of Investment Products</w:t>
            </w:r>
          </w:p>
        </w:tc>
      </w:tr>
      <w:tr w:rsidR="007212E1" w:rsidRPr="00CE2248" w:rsidTr="007212E1">
        <w:tc>
          <w:tcPr>
            <w:tcW w:w="0" w:type="auto"/>
            <w:tcMar>
              <w:top w:w="0" w:type="dxa"/>
              <w:left w:w="225" w:type="dxa"/>
              <w:bottom w:w="0" w:type="dxa"/>
              <w:right w:w="225" w:type="dxa"/>
            </w:tcMar>
            <w:vAlign w:val="center"/>
            <w:hideMark/>
          </w:tcPr>
          <w:p w:rsidR="00AD2DE0" w:rsidRPr="00AD2DE0" w:rsidRDefault="00AD2DE0" w:rsidP="00663C33">
            <w:pPr>
              <w:pStyle w:val="text-build-content"/>
              <w:spacing w:before="150" w:after="150" w:line="330" w:lineRule="exact"/>
              <w:jc w:val="both"/>
              <w:rPr>
                <w:rFonts w:ascii="Arial" w:hAnsi="Arial" w:cs="Arial"/>
                <w:sz w:val="21"/>
                <w:szCs w:val="21"/>
              </w:rPr>
            </w:pPr>
            <w:r w:rsidRPr="00AD2DE0">
              <w:rPr>
                <w:rFonts w:ascii="Arial" w:hAnsi="Arial" w:cs="Arial"/>
                <w:sz w:val="21"/>
                <w:szCs w:val="21"/>
              </w:rPr>
              <w:t>The HK SFC has reprimanded and fined Hang Seng Bank Limited (</w:t>
            </w:r>
            <w:r w:rsidRPr="00663C33">
              <w:rPr>
                <w:rFonts w:ascii="Arial" w:hAnsi="Arial" w:cs="Arial"/>
                <w:sz w:val="21"/>
                <w:szCs w:val="21"/>
              </w:rPr>
              <w:t>Hang Seng</w:t>
            </w:r>
            <w:r w:rsidRPr="00AD2DE0">
              <w:rPr>
                <w:rFonts w:ascii="Arial" w:hAnsi="Arial" w:cs="Arial"/>
                <w:sz w:val="21"/>
                <w:szCs w:val="21"/>
              </w:rPr>
              <w:t xml:space="preserve">) HK$66.4 million for serious breaches of the HK SFC’s regulatory requirements involved in its sale of collective investment schemes, sale and distribution of derivative products, excessive retention of monetary benefits, overcharging of clients and inadequate disclosure of fee arrangements. </w:t>
            </w:r>
          </w:p>
          <w:p w:rsidR="00AD2DE0" w:rsidRPr="00AD2DE0" w:rsidRDefault="00AD2DE0" w:rsidP="00AD2DE0">
            <w:pPr>
              <w:pStyle w:val="ac"/>
              <w:jc w:val="both"/>
              <w:rPr>
                <w:rFonts w:ascii="Arial" w:hAnsi="Arial" w:cs="Arial"/>
                <w:sz w:val="21"/>
                <w:szCs w:val="21"/>
              </w:rPr>
            </w:pPr>
          </w:p>
          <w:p w:rsidR="00AD2DE0" w:rsidRDefault="00AD2DE0" w:rsidP="00AD2DE0">
            <w:pPr>
              <w:pStyle w:val="ac"/>
              <w:jc w:val="both"/>
              <w:rPr>
                <w:rFonts w:ascii="Arial" w:hAnsi="Arial" w:cs="Arial"/>
                <w:b/>
                <w:sz w:val="21"/>
                <w:szCs w:val="21"/>
              </w:rPr>
            </w:pPr>
            <w:r w:rsidRPr="00AD2DE0">
              <w:rPr>
                <w:rFonts w:ascii="Arial" w:hAnsi="Arial" w:cs="Arial"/>
                <w:b/>
                <w:sz w:val="21"/>
                <w:szCs w:val="21"/>
              </w:rPr>
              <w:t xml:space="preserve">Collective investment scheme sales practices </w:t>
            </w:r>
          </w:p>
          <w:p w:rsidR="00AD2DE0" w:rsidRPr="00AD2DE0" w:rsidRDefault="00AD2DE0" w:rsidP="00AD2DE0">
            <w:pPr>
              <w:pStyle w:val="ac"/>
              <w:jc w:val="both"/>
              <w:rPr>
                <w:rFonts w:ascii="Arial" w:hAnsi="Arial" w:cs="Arial"/>
                <w:b/>
                <w:sz w:val="21"/>
                <w:szCs w:val="21"/>
              </w:rPr>
            </w:pPr>
          </w:p>
          <w:p w:rsidR="00AD2DE0" w:rsidRPr="00AD2DE0" w:rsidRDefault="00AD2DE0" w:rsidP="00663C33">
            <w:pPr>
              <w:pStyle w:val="text-build-content"/>
              <w:spacing w:before="150" w:after="150" w:line="330" w:lineRule="exact"/>
              <w:jc w:val="both"/>
              <w:rPr>
                <w:rFonts w:ascii="Arial" w:hAnsi="Arial" w:cs="Arial"/>
                <w:sz w:val="21"/>
                <w:szCs w:val="21"/>
              </w:rPr>
            </w:pPr>
            <w:r w:rsidRPr="00AD2DE0">
              <w:rPr>
                <w:rFonts w:ascii="Arial" w:hAnsi="Arial" w:cs="Arial"/>
                <w:sz w:val="21"/>
                <w:szCs w:val="21"/>
              </w:rPr>
              <w:t xml:space="preserve">The HK SFC’s action originated from an investigation by the Hong Kong Monetary Authority into Hang Seng’s collective investment scheme sales practices during the 18 months ending on 30 November 2017. One hundred and eleven accounts were found to have conducted 100 or more collective investment scheme-related transactions during that period. Most of these transactions were declared as client’s “own choice” in forms signed by clients. The SFC found that in the case of 46 clients, Hang Seng had failed to ensure that the transactions declared by the clients to be “own choice” were conducted without solicitation or recommendation by Hang Seng. Its relationship managers were found to have recommended the transactions and to have encouraged and/or induced the clients to execute the transactions. </w:t>
            </w:r>
          </w:p>
          <w:p w:rsidR="00AD2DE0" w:rsidRPr="00AD2DE0" w:rsidRDefault="00AD2DE0" w:rsidP="00AD2DE0">
            <w:pPr>
              <w:pStyle w:val="ac"/>
              <w:jc w:val="both"/>
              <w:rPr>
                <w:rFonts w:ascii="Arial" w:hAnsi="Arial" w:cs="Arial"/>
                <w:sz w:val="21"/>
                <w:szCs w:val="21"/>
              </w:rPr>
            </w:pPr>
          </w:p>
          <w:p w:rsidR="00AD2DE0" w:rsidRPr="001446C7" w:rsidRDefault="00AD2DE0" w:rsidP="00663C33">
            <w:pPr>
              <w:pStyle w:val="text-build-content"/>
              <w:spacing w:before="150" w:after="150" w:line="330" w:lineRule="exact"/>
              <w:jc w:val="both"/>
              <w:rPr>
                <w:rFonts w:ascii="Arial" w:hAnsi="Arial" w:cs="Arial"/>
                <w:sz w:val="21"/>
                <w:szCs w:val="21"/>
              </w:rPr>
            </w:pPr>
            <w:r w:rsidRPr="001446C7">
              <w:rPr>
                <w:rFonts w:ascii="Arial" w:hAnsi="Arial" w:cs="Arial"/>
                <w:sz w:val="21"/>
                <w:szCs w:val="21"/>
              </w:rPr>
              <w:t>Hang Seng was also found to have breached the requirement under paragraph 5.2 of the SFC Code of Conduct</w:t>
            </w:r>
            <w:r w:rsidRPr="00663C33">
              <w:rPr>
                <w:rFonts w:ascii="Arial" w:hAnsi="Arial" w:cs="Arial"/>
                <w:sz w:val="21"/>
                <w:szCs w:val="21"/>
                <w:vertAlign w:val="superscript"/>
              </w:rPr>
              <w:footnoteReference w:id="2"/>
            </w:r>
            <w:r w:rsidRPr="001446C7">
              <w:rPr>
                <w:rFonts w:ascii="Arial" w:hAnsi="Arial" w:cs="Arial"/>
                <w:sz w:val="21"/>
                <w:szCs w:val="21"/>
              </w:rPr>
              <w:t xml:space="preserve"> to ensure that its recommendations and solicitations to the 46 clients were suitable and reasonable given their particular circumstances. Hang Seng relationship managers were found to have procured the clients to conduct excessively frequent transactions with short holding periods which was generally contrary both to the funds’ investment objectives and the clients’ preferred investment tenor. The 46 clients also incurred substantial transaction fees on the frequent transactions. </w:t>
            </w:r>
          </w:p>
          <w:p w:rsidR="00AD2DE0" w:rsidRPr="00663C33" w:rsidRDefault="00AD2DE0" w:rsidP="00AD2DE0">
            <w:pPr>
              <w:pStyle w:val="ac"/>
              <w:jc w:val="both"/>
              <w:rPr>
                <w:rFonts w:ascii="Arial" w:hAnsi="Arial" w:cs="Arial"/>
                <w:color w:val="auto"/>
                <w:sz w:val="21"/>
                <w:szCs w:val="21"/>
              </w:rPr>
            </w:pPr>
          </w:p>
          <w:p w:rsidR="00AD2DE0" w:rsidRPr="001446C7" w:rsidRDefault="00AD2DE0" w:rsidP="00663C33">
            <w:pPr>
              <w:pStyle w:val="text-build-content"/>
              <w:spacing w:before="150" w:after="150" w:line="330" w:lineRule="exact"/>
              <w:jc w:val="both"/>
              <w:rPr>
                <w:rFonts w:ascii="Arial" w:hAnsi="Arial" w:cs="Arial"/>
                <w:sz w:val="21"/>
                <w:szCs w:val="21"/>
              </w:rPr>
            </w:pPr>
            <w:r w:rsidRPr="001446C7">
              <w:rPr>
                <w:rFonts w:ascii="Arial" w:hAnsi="Arial" w:cs="Arial"/>
                <w:sz w:val="21"/>
                <w:szCs w:val="21"/>
              </w:rPr>
              <w:t xml:space="preserve">The investigation also revealed that Hang Seng’s internal systems and controls were inadequate to properly supervise and monitor its sales of collective investment schemes. In particular, Hang Seng lacked a proper audit trail evidencing whether its relationship managers solicited or recommended transactions to clients. It also failed to properly monitor and follow up on accounts with excessively frequent trading. The deficiencies in Hang Seng’s internal systems and controls put it in breach of paragraphs 4.2, 4.3 and 12.1 of the SFC Code of Conduct and paragraph </w:t>
            </w:r>
            <w:proofErr w:type="gramStart"/>
            <w:r w:rsidRPr="001446C7">
              <w:rPr>
                <w:rFonts w:ascii="Arial" w:hAnsi="Arial" w:cs="Arial"/>
                <w:sz w:val="21"/>
                <w:szCs w:val="21"/>
              </w:rPr>
              <w:t>VII(</w:t>
            </w:r>
            <w:proofErr w:type="gramEnd"/>
            <w:r w:rsidRPr="001446C7">
              <w:rPr>
                <w:rFonts w:ascii="Arial" w:hAnsi="Arial" w:cs="Arial"/>
                <w:sz w:val="21"/>
                <w:szCs w:val="21"/>
              </w:rPr>
              <w:t>8) of the Internal Control Guidelines.</w:t>
            </w:r>
            <w:r w:rsidRPr="00663C33">
              <w:rPr>
                <w:rFonts w:ascii="Arial" w:hAnsi="Arial" w:cs="Arial"/>
                <w:sz w:val="21"/>
                <w:szCs w:val="21"/>
                <w:vertAlign w:val="superscript"/>
              </w:rPr>
              <w:footnoteReference w:id="3"/>
            </w:r>
          </w:p>
          <w:p w:rsidR="00AD2DE0" w:rsidRPr="00AD2DE0" w:rsidRDefault="00AD2DE0" w:rsidP="00AD2DE0">
            <w:pPr>
              <w:pStyle w:val="ac"/>
              <w:jc w:val="both"/>
              <w:rPr>
                <w:rFonts w:ascii="Arial" w:hAnsi="Arial" w:cs="Arial"/>
                <w:sz w:val="21"/>
                <w:szCs w:val="21"/>
              </w:rPr>
            </w:pPr>
          </w:p>
          <w:p w:rsidR="00AD2DE0" w:rsidRPr="00AD2DE0" w:rsidRDefault="00AD2DE0" w:rsidP="00AD2DE0">
            <w:pPr>
              <w:pStyle w:val="ac"/>
              <w:jc w:val="both"/>
              <w:rPr>
                <w:rFonts w:ascii="Arial" w:hAnsi="Arial" w:cs="Arial"/>
                <w:b/>
                <w:sz w:val="21"/>
                <w:szCs w:val="21"/>
              </w:rPr>
            </w:pPr>
            <w:r w:rsidRPr="00AD2DE0">
              <w:rPr>
                <w:rFonts w:ascii="Arial" w:hAnsi="Arial" w:cs="Arial"/>
                <w:b/>
                <w:sz w:val="21"/>
                <w:szCs w:val="21"/>
              </w:rPr>
              <w:t>Regulatory breaches incurred in sale and distribution of derivative products</w:t>
            </w:r>
          </w:p>
          <w:p w:rsidR="00AD2DE0" w:rsidRPr="00AD2DE0" w:rsidRDefault="00AD2DE0" w:rsidP="00AD2DE0">
            <w:pPr>
              <w:pStyle w:val="ac"/>
              <w:jc w:val="both"/>
              <w:rPr>
                <w:rFonts w:ascii="Arial" w:hAnsi="Arial" w:cs="Arial"/>
                <w:b/>
                <w:sz w:val="21"/>
                <w:szCs w:val="21"/>
              </w:rPr>
            </w:pPr>
          </w:p>
          <w:p w:rsidR="00AD2DE0" w:rsidRPr="001446C7" w:rsidRDefault="00AD2DE0" w:rsidP="00663C33">
            <w:pPr>
              <w:pStyle w:val="text-build-content"/>
              <w:spacing w:before="150" w:after="150" w:line="330" w:lineRule="exact"/>
              <w:jc w:val="both"/>
              <w:rPr>
                <w:rFonts w:ascii="Arial" w:hAnsi="Arial" w:cs="Arial"/>
                <w:sz w:val="21"/>
                <w:szCs w:val="21"/>
              </w:rPr>
            </w:pPr>
            <w:r w:rsidRPr="001446C7">
              <w:rPr>
                <w:rFonts w:ascii="Arial" w:hAnsi="Arial" w:cs="Arial"/>
                <w:sz w:val="21"/>
                <w:szCs w:val="21"/>
              </w:rPr>
              <w:t xml:space="preserve">Between February 2014 and December 2018, 388 clients who had not been </w:t>
            </w:r>
            <w:proofErr w:type="spellStart"/>
            <w:r w:rsidRPr="001446C7">
              <w:rPr>
                <w:rFonts w:ascii="Arial" w:hAnsi="Arial" w:cs="Arial"/>
                <w:sz w:val="21"/>
                <w:szCs w:val="21"/>
              </w:rPr>
              <w:t>characterised</w:t>
            </w:r>
            <w:proofErr w:type="spellEnd"/>
            <w:r w:rsidRPr="001446C7">
              <w:rPr>
                <w:rFonts w:ascii="Arial" w:hAnsi="Arial" w:cs="Arial"/>
                <w:sz w:val="21"/>
                <w:szCs w:val="21"/>
              </w:rPr>
              <w:t xml:space="preserve"> by Hang Seng as having a general knowledge of the nature and risks of derivatives were allowed to buy derivative funds in 629 transactions through Hang Seng online banking. One hundred and forty-eight of these transactions involved products with a risk level that was higher than the relevant client’s risk tolerance level (</w:t>
            </w:r>
            <w:r w:rsidRPr="001446C7">
              <w:rPr>
                <w:rFonts w:ascii="Arial" w:hAnsi="Arial" w:cs="Arial"/>
                <w:b/>
                <w:bCs/>
                <w:sz w:val="21"/>
                <w:szCs w:val="21"/>
              </w:rPr>
              <w:t>Risk Mismatch Transactions</w:t>
            </w:r>
            <w:r w:rsidRPr="001446C7">
              <w:rPr>
                <w:rFonts w:ascii="Arial" w:hAnsi="Arial" w:cs="Arial"/>
                <w:sz w:val="21"/>
                <w:szCs w:val="21"/>
              </w:rPr>
              <w:t xml:space="preserve">). In the case of the Risk Management Transactions, the derivative funds were assessed by Hang Seng to be unsuitable for the relevant clients. While this was notified to clients through an alert message, they were allowed to proceed with the transactions if they acknowledged the alert message. The SFC found that Hang Seng had failed to ensure the Risk Mismatch Transactions in </w:t>
            </w:r>
            <w:r w:rsidRPr="001446C7">
              <w:rPr>
                <w:rFonts w:ascii="Arial" w:hAnsi="Arial" w:cs="Arial"/>
                <w:sz w:val="21"/>
                <w:szCs w:val="21"/>
              </w:rPr>
              <w:lastRenderedPageBreak/>
              <w:t>derivative products were suitable for its clients or were otherwise in their best interests as required by paragraph 5.1A(b)(ii) of the SFC Code of Conduct.</w:t>
            </w:r>
          </w:p>
          <w:p w:rsidR="00AD2DE0" w:rsidRPr="00AD2DE0" w:rsidRDefault="00AD2DE0" w:rsidP="00AD2DE0">
            <w:pPr>
              <w:pStyle w:val="ac"/>
              <w:jc w:val="both"/>
              <w:rPr>
                <w:rFonts w:ascii="Arial" w:hAnsi="Arial" w:cs="Arial"/>
                <w:sz w:val="21"/>
                <w:szCs w:val="21"/>
              </w:rPr>
            </w:pPr>
          </w:p>
          <w:p w:rsidR="001446C7" w:rsidRPr="00AD2DE0" w:rsidRDefault="00AD2DE0" w:rsidP="00AD2DE0">
            <w:pPr>
              <w:pStyle w:val="ac"/>
              <w:jc w:val="both"/>
              <w:rPr>
                <w:rFonts w:ascii="Arial" w:hAnsi="Arial" w:cs="Arial"/>
                <w:b/>
                <w:sz w:val="21"/>
                <w:szCs w:val="21"/>
              </w:rPr>
            </w:pPr>
            <w:r w:rsidRPr="00AD2DE0">
              <w:rPr>
                <w:rFonts w:ascii="Arial" w:hAnsi="Arial" w:cs="Arial"/>
                <w:b/>
                <w:sz w:val="21"/>
                <w:szCs w:val="21"/>
              </w:rPr>
              <w:t>Retention of excessive benefits, overcharging of clients and inadequate disclosure of fee arrangements</w:t>
            </w:r>
          </w:p>
          <w:p w:rsidR="00AD2DE0" w:rsidRPr="00AD2DE0" w:rsidRDefault="00AD2DE0" w:rsidP="00AD2DE0">
            <w:pPr>
              <w:pStyle w:val="ac"/>
              <w:jc w:val="both"/>
              <w:rPr>
                <w:rFonts w:ascii="Arial" w:hAnsi="Arial" w:cs="Arial"/>
                <w:b/>
                <w:sz w:val="21"/>
                <w:szCs w:val="21"/>
              </w:rPr>
            </w:pPr>
          </w:p>
          <w:p w:rsidR="00AD2DE0" w:rsidRPr="00663C33" w:rsidRDefault="00AD2DE0" w:rsidP="00663C33">
            <w:pPr>
              <w:pStyle w:val="text-build-content"/>
              <w:spacing w:line="330" w:lineRule="exact"/>
              <w:jc w:val="both"/>
              <w:rPr>
                <w:rFonts w:ascii="Arial" w:eastAsia="Times New Roman" w:hAnsi="Arial" w:cs="Arial"/>
                <w:sz w:val="21"/>
                <w:szCs w:val="21"/>
              </w:rPr>
            </w:pPr>
            <w:r w:rsidRPr="00663C33">
              <w:rPr>
                <w:rFonts w:ascii="Arial" w:eastAsia="Times New Roman" w:hAnsi="Arial" w:cs="Arial"/>
                <w:sz w:val="21"/>
                <w:szCs w:val="21"/>
              </w:rPr>
              <w:t>Hang Seng was also found to have improperly retained monetary benefits in excess of the amounts disclosed which, in some cases, deprived clients of the benefit of price improvements. The SFC also found that Hang Seng had failed to provide written disclosure of trailer fees (i.e., commissions it received from fund houses as a distributor of funds) when processing fund subscription and switching transactions via telephone orders.</w:t>
            </w:r>
          </w:p>
          <w:p w:rsidR="00AD2DE0" w:rsidRPr="00AD2DE0" w:rsidRDefault="00AD2DE0" w:rsidP="00AD2DE0">
            <w:pPr>
              <w:pStyle w:val="ac"/>
              <w:jc w:val="both"/>
              <w:rPr>
                <w:rFonts w:ascii="Arial" w:hAnsi="Arial" w:cs="Arial"/>
                <w:sz w:val="21"/>
                <w:szCs w:val="21"/>
              </w:rPr>
            </w:pPr>
          </w:p>
          <w:p w:rsidR="00AD2DE0" w:rsidRPr="00663C33" w:rsidRDefault="00AD2DE0" w:rsidP="00AD2DE0">
            <w:pPr>
              <w:pStyle w:val="ac"/>
              <w:jc w:val="both"/>
              <w:rPr>
                <w:rFonts w:ascii="Arial" w:eastAsia="Times New Roman" w:hAnsi="Arial" w:cs="Arial"/>
                <w:color w:val="auto"/>
                <w:sz w:val="21"/>
                <w:szCs w:val="21"/>
              </w:rPr>
            </w:pPr>
            <w:r w:rsidRPr="00AD2DE0">
              <w:rPr>
                <w:rFonts w:ascii="Arial" w:hAnsi="Arial" w:cs="Arial"/>
                <w:sz w:val="21"/>
                <w:szCs w:val="21"/>
              </w:rPr>
              <w:t>(</w:t>
            </w:r>
            <w:r w:rsidRPr="00663C33">
              <w:rPr>
                <w:rFonts w:ascii="Arial" w:eastAsia="Times New Roman" w:hAnsi="Arial" w:cs="Arial"/>
                <w:color w:val="auto"/>
                <w:sz w:val="21"/>
                <w:szCs w:val="21"/>
              </w:rPr>
              <w:t xml:space="preserve">Sources: </w:t>
            </w:r>
            <w:hyperlink r:id="rId15" w:history="1">
              <w:r w:rsidRPr="00663C33">
                <w:rPr>
                  <w:rFonts w:ascii="Arial" w:eastAsia="Times New Roman" w:hAnsi="Arial" w:cs="Arial"/>
                  <w:color w:val="FF0000"/>
                  <w:sz w:val="21"/>
                  <w:szCs w:val="21"/>
                </w:rPr>
                <w:t>https://apps.sfc.hk/edistributionWeb/gateway/EN/news-and-announcements/news/doc?refNo=25PR14</w:t>
              </w:r>
            </w:hyperlink>
            <w:r w:rsidRPr="00663C33">
              <w:rPr>
                <w:rFonts w:ascii="Arial" w:eastAsia="Times New Roman" w:hAnsi="Arial" w:cs="Arial"/>
                <w:color w:val="auto"/>
                <w:sz w:val="21"/>
                <w:szCs w:val="21"/>
              </w:rPr>
              <w:t xml:space="preserve"> and </w:t>
            </w:r>
            <w:hyperlink r:id="rId16" w:history="1">
              <w:r w:rsidRPr="00663C33">
                <w:rPr>
                  <w:rFonts w:ascii="Arial" w:eastAsia="Times New Roman" w:hAnsi="Arial" w:cs="Arial"/>
                  <w:color w:val="FF0000"/>
                  <w:sz w:val="21"/>
                  <w:szCs w:val="21"/>
                </w:rPr>
                <w:t>https://apps.sfc.hk/edistributionWeb/api/news/openAppendix?lang=EN&amp;refNo=25PR14&amp;appendix=0</w:t>
              </w:r>
            </w:hyperlink>
            <w:r w:rsidRPr="00663C33">
              <w:rPr>
                <w:rFonts w:ascii="Arial" w:eastAsia="Times New Roman" w:hAnsi="Arial" w:cs="Arial"/>
                <w:color w:val="auto"/>
                <w:sz w:val="21"/>
                <w:szCs w:val="21"/>
              </w:rPr>
              <w:t>)</w:t>
            </w:r>
          </w:p>
          <w:p w:rsidR="00AD2DE0" w:rsidRDefault="00AD2DE0" w:rsidP="00CE2248">
            <w:pPr>
              <w:pStyle w:val="text-build-content"/>
              <w:spacing w:line="330" w:lineRule="exact"/>
              <w:jc w:val="center"/>
              <w:rPr>
                <w:rFonts w:ascii="Arial" w:eastAsia="Times New Roman" w:hAnsi="Arial" w:cs="Arial"/>
                <w:b/>
                <w:color w:val="E61D24"/>
                <w:sz w:val="30"/>
                <w:szCs w:val="30"/>
              </w:rPr>
            </w:pPr>
          </w:p>
          <w:p w:rsidR="00CE2248" w:rsidRPr="00CE2248" w:rsidRDefault="00CE2248" w:rsidP="00CE2248">
            <w:pPr>
              <w:pStyle w:val="text-build-content"/>
              <w:spacing w:line="330" w:lineRule="exact"/>
              <w:jc w:val="center"/>
              <w:rPr>
                <w:rFonts w:ascii="Arial" w:eastAsia="Times New Roman" w:hAnsi="Arial" w:cs="Arial"/>
                <w:b/>
                <w:color w:val="E61D24"/>
                <w:sz w:val="30"/>
                <w:szCs w:val="30"/>
              </w:rPr>
            </w:pPr>
            <w:r w:rsidRPr="00CE2248">
              <w:rPr>
                <w:rFonts w:ascii="Arial" w:eastAsia="Times New Roman" w:hAnsi="Arial" w:cs="Arial"/>
                <w:b/>
                <w:color w:val="E61D24"/>
                <w:sz w:val="30"/>
                <w:szCs w:val="30"/>
              </w:rPr>
              <w:t>HK SFC Imposes Lifetime Ban on Chan Ka Him Following Court’s Fraud Conviction</w:t>
            </w:r>
          </w:p>
          <w:tbl>
            <w:tblPr>
              <w:tblW w:w="5000" w:type="pct"/>
              <w:tblCellMar>
                <w:left w:w="0" w:type="dxa"/>
                <w:right w:w="0" w:type="dxa"/>
              </w:tblCellMar>
              <w:tblLook w:val="04A0" w:firstRow="1" w:lastRow="0" w:firstColumn="1" w:lastColumn="0" w:noHBand="0" w:noVBand="1"/>
            </w:tblPr>
            <w:tblGrid>
              <w:gridCol w:w="9728"/>
            </w:tblGrid>
            <w:tr w:rsidR="00CE2248" w:rsidRPr="00CE2248" w:rsidTr="00CE2248">
              <w:tc>
                <w:tcPr>
                  <w:tcW w:w="0" w:type="auto"/>
                  <w:tcMar>
                    <w:top w:w="0" w:type="dxa"/>
                    <w:left w:w="225" w:type="dxa"/>
                    <w:bottom w:w="0" w:type="dxa"/>
                    <w:right w:w="225" w:type="dxa"/>
                  </w:tcMar>
                  <w:vAlign w:val="center"/>
                  <w:hideMark/>
                </w:tcPr>
                <w:p w:rsidR="00CE2248" w:rsidRPr="00CE2248" w:rsidRDefault="00CE2248" w:rsidP="00CE2248">
                  <w:pPr>
                    <w:pStyle w:val="text-build-content"/>
                    <w:spacing w:line="330" w:lineRule="exact"/>
                    <w:jc w:val="both"/>
                    <w:rPr>
                      <w:rFonts w:ascii="Arial" w:eastAsia="Times New Roman" w:hAnsi="Arial" w:cs="Arial"/>
                      <w:sz w:val="21"/>
                      <w:szCs w:val="21"/>
                    </w:rPr>
                  </w:pPr>
                  <w:r w:rsidRPr="00CE2248">
                    <w:rPr>
                      <w:rFonts w:ascii="Arial" w:eastAsia="Times New Roman" w:hAnsi="Arial" w:cs="Arial"/>
                      <w:sz w:val="21"/>
                      <w:szCs w:val="21"/>
                    </w:rPr>
                    <w:t>On 6 January 2025, the Hong Kong Securities and Futures Commission (</w:t>
                  </w:r>
                  <w:r w:rsidRPr="00BC4769">
                    <w:rPr>
                      <w:rFonts w:ascii="Arial" w:eastAsia="Times New Roman" w:hAnsi="Arial" w:cs="Arial"/>
                      <w:b/>
                      <w:sz w:val="21"/>
                      <w:szCs w:val="21"/>
                    </w:rPr>
                    <w:t>HK SFC</w:t>
                  </w:r>
                  <w:r w:rsidRPr="00CE2248">
                    <w:rPr>
                      <w:rFonts w:ascii="Arial" w:eastAsia="Times New Roman" w:hAnsi="Arial" w:cs="Arial"/>
                      <w:sz w:val="21"/>
                      <w:szCs w:val="21"/>
                    </w:rPr>
                    <w:t xml:space="preserve">) permanently barred </w:t>
                  </w:r>
                  <w:proofErr w:type="spellStart"/>
                  <w:r w:rsidRPr="00CE2248">
                    <w:rPr>
                      <w:rFonts w:ascii="Arial" w:eastAsia="Times New Roman" w:hAnsi="Arial" w:cs="Arial"/>
                      <w:sz w:val="21"/>
                      <w:szCs w:val="21"/>
                    </w:rPr>
                    <w:t>Mr</w:t>
                  </w:r>
                  <w:proofErr w:type="spellEnd"/>
                  <w:r w:rsidRPr="00CE2248">
                    <w:rPr>
                      <w:rFonts w:ascii="Arial" w:eastAsia="Times New Roman" w:hAnsi="Arial" w:cs="Arial"/>
                      <w:sz w:val="21"/>
                      <w:szCs w:val="21"/>
                    </w:rPr>
                    <w:t xml:space="preserve"> Chan Ka Him, a former insurance specialist at Standard Chartered Bank (Hong Kong) Limited (</w:t>
                  </w:r>
                  <w:r w:rsidRPr="00BC4769">
                    <w:rPr>
                      <w:rFonts w:ascii="Arial" w:eastAsia="Times New Roman" w:hAnsi="Arial" w:cs="Arial"/>
                      <w:b/>
                      <w:sz w:val="21"/>
                      <w:szCs w:val="21"/>
                    </w:rPr>
                    <w:t>HK SCB</w:t>
                  </w:r>
                  <w:r w:rsidRPr="00CE2248">
                    <w:rPr>
                      <w:rFonts w:ascii="Arial" w:eastAsia="Times New Roman" w:hAnsi="Arial" w:cs="Arial"/>
                      <w:sz w:val="21"/>
                      <w:szCs w:val="21"/>
                    </w:rPr>
                    <w:t>), from re-entering the financial industry. The decision follows Chan’s criminal convictions for three counts of fraud and one count of attempted fraud, as ruled by the Hong Kong District Court on 2 February 2024. The court sentenced Chan to 20 months in prison, citing his deliberate and systematic deception of clients and the significant reputational harm caused to a leading financial institution.</w:t>
                  </w:r>
                </w:p>
              </w:tc>
            </w:tr>
            <w:tr w:rsidR="00CE2248" w:rsidRPr="00CE2248" w:rsidTr="00CE2248">
              <w:tc>
                <w:tcPr>
                  <w:tcW w:w="0" w:type="auto"/>
                  <w:tcMar>
                    <w:top w:w="0" w:type="dxa"/>
                    <w:left w:w="225" w:type="dxa"/>
                    <w:bottom w:w="0" w:type="dxa"/>
                    <w:right w:w="225" w:type="dxa"/>
                  </w:tcMar>
                  <w:vAlign w:val="center"/>
                  <w:hideMark/>
                </w:tcPr>
                <w:p w:rsidR="00CE2248" w:rsidRPr="00CE2248" w:rsidRDefault="00CE2248" w:rsidP="00CE2248">
                  <w:pPr>
                    <w:pStyle w:val="text-build-content"/>
                    <w:spacing w:line="330" w:lineRule="exact"/>
                    <w:jc w:val="both"/>
                    <w:rPr>
                      <w:rFonts w:ascii="Arial" w:eastAsia="Times New Roman" w:hAnsi="Arial" w:cs="Arial"/>
                      <w:sz w:val="21"/>
                      <w:szCs w:val="21"/>
                    </w:rPr>
                  </w:pPr>
                  <w:r w:rsidRPr="00CE2248">
                    <w:rPr>
                      <w:rFonts w:ascii="Arial" w:eastAsia="Times New Roman" w:hAnsi="Arial" w:cs="Arial"/>
                      <w:sz w:val="21"/>
                      <w:szCs w:val="21"/>
                    </w:rPr>
                    <w:t xml:space="preserve">The District Court found that between January and March 2019, Chan facilitated two clients in obtaining insurance policies. However, between August and September 2019, he induced these clients to transfer substantial sums; US$52,300 from one client and over HK$420,000 from another; into a bank account under his control. </w:t>
                  </w:r>
                  <w:r w:rsidR="0076220E">
                    <w:rPr>
                      <w:rFonts w:ascii="Arial" w:eastAsia="Times New Roman" w:hAnsi="Arial" w:cs="Arial"/>
                      <w:sz w:val="21"/>
                      <w:szCs w:val="21"/>
                    </w:rPr>
                    <w:t>Having c</w:t>
                  </w:r>
                  <w:r w:rsidRPr="00CE2248">
                    <w:rPr>
                      <w:rFonts w:ascii="Arial" w:eastAsia="Times New Roman" w:hAnsi="Arial" w:cs="Arial"/>
                      <w:sz w:val="21"/>
                      <w:szCs w:val="21"/>
                    </w:rPr>
                    <w:t>laim</w:t>
                  </w:r>
                  <w:r w:rsidR="0076220E">
                    <w:rPr>
                      <w:rFonts w:ascii="Arial" w:eastAsia="Times New Roman" w:hAnsi="Arial" w:cs="Arial"/>
                      <w:sz w:val="21"/>
                      <w:szCs w:val="21"/>
                    </w:rPr>
                    <w:t>ed</w:t>
                  </w:r>
                  <w:r w:rsidRPr="00CE2248">
                    <w:rPr>
                      <w:rFonts w:ascii="Arial" w:eastAsia="Times New Roman" w:hAnsi="Arial" w:cs="Arial"/>
                      <w:sz w:val="21"/>
                      <w:szCs w:val="21"/>
                    </w:rPr>
                    <w:t xml:space="preserve"> these funds were for settling insurance premiums, Chan later attempted to cancel the clients’ policies by falsely representing to the insurer that they had requested cancellations. The court noted that Chan’s actions demonstrated a calculated breach of trust, taking advantage of his position at </w:t>
                  </w:r>
                  <w:r w:rsidR="0076220E">
                    <w:rPr>
                      <w:rFonts w:ascii="Arial" w:eastAsia="Times New Roman" w:hAnsi="Arial" w:cs="Arial"/>
                      <w:sz w:val="21"/>
                      <w:szCs w:val="21"/>
                    </w:rPr>
                    <w:t xml:space="preserve">HK </w:t>
                  </w:r>
                  <w:r w:rsidRPr="00CE2248">
                    <w:rPr>
                      <w:rFonts w:ascii="Arial" w:eastAsia="Times New Roman" w:hAnsi="Arial" w:cs="Arial"/>
                      <w:sz w:val="21"/>
                      <w:szCs w:val="21"/>
                    </w:rPr>
                    <w:t>SCB, a prominent bank in Hong Kong.</w:t>
                  </w:r>
                </w:p>
              </w:tc>
            </w:tr>
            <w:tr w:rsidR="00CE2248" w:rsidRPr="00CE2248" w:rsidTr="00CE2248">
              <w:tc>
                <w:tcPr>
                  <w:tcW w:w="0" w:type="auto"/>
                  <w:tcMar>
                    <w:top w:w="0" w:type="dxa"/>
                    <w:left w:w="225" w:type="dxa"/>
                    <w:bottom w:w="0" w:type="dxa"/>
                    <w:right w:w="225" w:type="dxa"/>
                  </w:tcMar>
                  <w:vAlign w:val="center"/>
                  <w:hideMark/>
                </w:tcPr>
                <w:p w:rsidR="00CE2248" w:rsidRPr="00CE2248" w:rsidRDefault="00CE2248" w:rsidP="00CE2248">
                  <w:pPr>
                    <w:pStyle w:val="text-build-content"/>
                    <w:spacing w:line="330" w:lineRule="exact"/>
                    <w:jc w:val="both"/>
                    <w:rPr>
                      <w:rFonts w:ascii="Arial" w:eastAsia="Times New Roman" w:hAnsi="Arial" w:cs="Arial"/>
                      <w:sz w:val="21"/>
                      <w:szCs w:val="21"/>
                    </w:rPr>
                  </w:pPr>
                  <w:r w:rsidRPr="00CE2248">
                    <w:rPr>
                      <w:rFonts w:ascii="Arial" w:eastAsia="Times New Roman" w:hAnsi="Arial" w:cs="Arial"/>
                      <w:sz w:val="21"/>
                      <w:szCs w:val="21"/>
                    </w:rPr>
                    <w:t xml:space="preserve">In its sentencing, the court referenced established guidelines for fraud cases involving breaches of trust. For fraud involving HK$250,000 to HK$1,000,000, a starting point of 2 to 3 years’ imprisonment is typical. The court adopted a 27-month starting point for the fraud charges linked to the HK$420,000 amount and 24 months for the related insurance claims. While Chan could not benefit from the one-third sentencing discount granted for guilty pleas, the court acknowledged mitigating factors, including his repayment of the stolen funds before his arrest and his agreement with much of the prosecution’s </w:t>
                  </w:r>
                  <w:r w:rsidRPr="00CE2248">
                    <w:rPr>
                      <w:rFonts w:ascii="Arial" w:eastAsia="Times New Roman" w:hAnsi="Arial" w:cs="Arial"/>
                      <w:sz w:val="21"/>
                      <w:szCs w:val="21"/>
                    </w:rPr>
                    <w:lastRenderedPageBreak/>
                    <w:t xml:space="preserve">evidence, which reduced trial time. These considerations led to sentence reductions, resulting in concurrent terms </w:t>
                  </w:r>
                  <w:proofErr w:type="spellStart"/>
                  <w:r w:rsidRPr="00CE2248">
                    <w:rPr>
                      <w:rFonts w:ascii="Arial" w:eastAsia="Times New Roman" w:hAnsi="Arial" w:cs="Arial"/>
                      <w:sz w:val="21"/>
                      <w:szCs w:val="21"/>
                    </w:rPr>
                    <w:t>totalling</w:t>
                  </w:r>
                  <w:proofErr w:type="spellEnd"/>
                  <w:r w:rsidRPr="00CE2248">
                    <w:rPr>
                      <w:rFonts w:ascii="Arial" w:eastAsia="Times New Roman" w:hAnsi="Arial" w:cs="Arial"/>
                      <w:sz w:val="21"/>
                      <w:szCs w:val="21"/>
                    </w:rPr>
                    <w:t xml:space="preserve"> 20 months.</w:t>
                  </w:r>
                </w:p>
              </w:tc>
            </w:tr>
            <w:tr w:rsidR="00CE2248" w:rsidRPr="00CE2248" w:rsidTr="00CE2248">
              <w:tc>
                <w:tcPr>
                  <w:tcW w:w="0" w:type="auto"/>
                  <w:tcMar>
                    <w:top w:w="0" w:type="dxa"/>
                    <w:left w:w="225" w:type="dxa"/>
                    <w:bottom w:w="0" w:type="dxa"/>
                    <w:right w:w="225" w:type="dxa"/>
                  </w:tcMar>
                  <w:vAlign w:val="center"/>
                  <w:hideMark/>
                </w:tcPr>
                <w:p w:rsidR="00CE2248" w:rsidRPr="00CE2248" w:rsidRDefault="00CE2248" w:rsidP="00CE2248">
                  <w:pPr>
                    <w:pStyle w:val="text-build-content"/>
                    <w:spacing w:line="330" w:lineRule="exact"/>
                    <w:jc w:val="both"/>
                    <w:rPr>
                      <w:rFonts w:ascii="Arial" w:eastAsia="Times New Roman" w:hAnsi="Arial" w:cs="Arial"/>
                      <w:sz w:val="21"/>
                      <w:szCs w:val="21"/>
                    </w:rPr>
                  </w:pPr>
                  <w:r w:rsidRPr="00CE2248">
                    <w:rPr>
                      <w:rFonts w:ascii="Arial" w:eastAsia="Times New Roman" w:hAnsi="Arial" w:cs="Arial"/>
                      <w:sz w:val="21"/>
                      <w:szCs w:val="21"/>
                    </w:rPr>
                    <w:lastRenderedPageBreak/>
                    <w:t>The case underwent an extended timeline. Chan was arrested by the Hong Kong Independent Commission Against Corruption (ICAC) in January 2020. After a detailed investigation, he was charged in November 2022, with his trial beginning in October 2023 and concluding in January 2024.</w:t>
                  </w:r>
                </w:p>
              </w:tc>
            </w:tr>
            <w:tr w:rsidR="00CE2248" w:rsidRPr="00CE2248" w:rsidTr="00CE2248">
              <w:tc>
                <w:tcPr>
                  <w:tcW w:w="0" w:type="auto"/>
                  <w:tcMar>
                    <w:top w:w="0" w:type="dxa"/>
                    <w:left w:w="225" w:type="dxa"/>
                    <w:bottom w:w="0" w:type="dxa"/>
                    <w:right w:w="225" w:type="dxa"/>
                  </w:tcMar>
                  <w:vAlign w:val="center"/>
                  <w:hideMark/>
                </w:tcPr>
                <w:p w:rsidR="00CE2248" w:rsidRPr="00CE2248" w:rsidRDefault="00CE2248">
                  <w:pPr>
                    <w:pStyle w:val="text-build-content"/>
                    <w:spacing w:line="330" w:lineRule="exact"/>
                    <w:jc w:val="both"/>
                    <w:rPr>
                      <w:rFonts w:ascii="Arial" w:eastAsia="Times New Roman" w:hAnsi="Arial" w:cs="Arial"/>
                      <w:sz w:val="21"/>
                      <w:szCs w:val="21"/>
                    </w:rPr>
                  </w:pPr>
                  <w:r w:rsidRPr="00CE2248">
                    <w:rPr>
                      <w:rFonts w:ascii="Arial" w:eastAsia="Times New Roman" w:hAnsi="Arial" w:cs="Arial"/>
                      <w:sz w:val="21"/>
                      <w:szCs w:val="21"/>
                    </w:rPr>
                    <w:t xml:space="preserve">The HK SFC stated that Chan’s </w:t>
                  </w:r>
                  <w:r w:rsidR="008C1A16">
                    <w:rPr>
                      <w:rFonts w:ascii="Arial" w:eastAsia="Times New Roman" w:hAnsi="Arial" w:cs="Arial"/>
                      <w:sz w:val="21"/>
                      <w:szCs w:val="21"/>
                    </w:rPr>
                    <w:t xml:space="preserve">criminal </w:t>
                  </w:r>
                  <w:r w:rsidRPr="00CE2248">
                    <w:rPr>
                      <w:rFonts w:ascii="Arial" w:eastAsia="Times New Roman" w:hAnsi="Arial" w:cs="Arial"/>
                      <w:sz w:val="21"/>
                      <w:szCs w:val="21"/>
                    </w:rPr>
                    <w:t>convictions and the court’s findings rendered him unfit and improper to serve as a regulated person under the Hong Kong Securities and Futures Ordinance. Chan</w:t>
                  </w:r>
                  <w:r w:rsidR="00FE590D">
                    <w:rPr>
                      <w:rFonts w:ascii="Arial" w:eastAsia="Times New Roman" w:hAnsi="Arial" w:cs="Arial"/>
                      <w:sz w:val="21"/>
                      <w:szCs w:val="21"/>
                    </w:rPr>
                    <w:t xml:space="preserve"> was previously</w:t>
                  </w:r>
                  <w:r w:rsidRPr="00CE2248">
                    <w:rPr>
                      <w:rFonts w:ascii="Arial" w:eastAsia="Times New Roman" w:hAnsi="Arial" w:cs="Arial"/>
                      <w:sz w:val="21"/>
                      <w:szCs w:val="21"/>
                    </w:rPr>
                    <w:t xml:space="preserve"> regist</w:t>
                  </w:r>
                  <w:r w:rsidR="00FE590D">
                    <w:rPr>
                      <w:rFonts w:ascii="Arial" w:eastAsia="Times New Roman" w:hAnsi="Arial" w:cs="Arial"/>
                      <w:sz w:val="21"/>
                      <w:szCs w:val="21"/>
                    </w:rPr>
                    <w:t>e</w:t>
                  </w:r>
                  <w:r w:rsidRPr="00CE2248">
                    <w:rPr>
                      <w:rFonts w:ascii="Arial" w:eastAsia="Times New Roman" w:hAnsi="Arial" w:cs="Arial"/>
                      <w:sz w:val="21"/>
                      <w:szCs w:val="21"/>
                    </w:rPr>
                    <w:t>r</w:t>
                  </w:r>
                  <w:r w:rsidR="00FE590D">
                    <w:rPr>
                      <w:rFonts w:ascii="Arial" w:eastAsia="Times New Roman" w:hAnsi="Arial" w:cs="Arial"/>
                      <w:sz w:val="21"/>
                      <w:szCs w:val="21"/>
                    </w:rPr>
                    <w:t>ed</w:t>
                  </w:r>
                  <w:r w:rsidRPr="00CE2248">
                    <w:rPr>
                      <w:rFonts w:ascii="Arial" w:eastAsia="Times New Roman" w:hAnsi="Arial" w:cs="Arial"/>
                      <w:sz w:val="21"/>
                      <w:szCs w:val="21"/>
                    </w:rPr>
                    <w:t xml:space="preserve"> </w:t>
                  </w:r>
                  <w:r w:rsidR="004D627D">
                    <w:rPr>
                      <w:rFonts w:ascii="Arial" w:eastAsia="Times New Roman" w:hAnsi="Arial" w:cs="Arial"/>
                      <w:sz w:val="21"/>
                      <w:szCs w:val="21"/>
                    </w:rPr>
                    <w:t xml:space="preserve">under that Ordinance </w:t>
                  </w:r>
                  <w:r w:rsidRPr="00CE2248">
                    <w:rPr>
                      <w:rFonts w:ascii="Arial" w:eastAsia="Times New Roman" w:hAnsi="Arial" w:cs="Arial"/>
                      <w:sz w:val="21"/>
                      <w:szCs w:val="21"/>
                    </w:rPr>
                    <w:t xml:space="preserve">to engage in Type 1 (dealing in securities) and Type 4 (advising on securities) regulated activities until October 2019. The judiciary has made the </w:t>
                  </w:r>
                  <w:r w:rsidR="00FE590D" w:rsidRPr="00FE590D">
                    <w:rPr>
                      <w:rFonts w:ascii="Arial" w:eastAsia="Times New Roman" w:hAnsi="Arial" w:cs="Arial"/>
                      <w:sz w:val="21"/>
                      <w:szCs w:val="21"/>
                    </w:rPr>
                    <w:t>Reasons for Verdict</w:t>
                  </w:r>
                  <w:r w:rsidRPr="00CE2248">
                    <w:rPr>
                      <w:rFonts w:ascii="Arial" w:eastAsia="Times New Roman" w:hAnsi="Arial" w:cs="Arial"/>
                      <w:sz w:val="21"/>
                      <w:szCs w:val="21"/>
                    </w:rPr>
                    <w:t xml:space="preserve"> and Reasons for Sentence in case no. DCCC 1157/2022 publicly available</w:t>
                  </w:r>
                  <w:r w:rsidR="00FE590D">
                    <w:rPr>
                      <w:rFonts w:ascii="Arial" w:eastAsia="Times New Roman" w:hAnsi="Arial" w:cs="Arial"/>
                      <w:sz w:val="21"/>
                      <w:szCs w:val="21"/>
                    </w:rPr>
                    <w:t xml:space="preserve"> on its website</w:t>
                  </w:r>
                  <w:r w:rsidRPr="00CE2248">
                    <w:rPr>
                      <w:rFonts w:ascii="Arial" w:eastAsia="Times New Roman" w:hAnsi="Arial" w:cs="Arial"/>
                      <w:sz w:val="21"/>
                      <w:szCs w:val="21"/>
                    </w:rPr>
                    <w:t>.</w:t>
                  </w:r>
                </w:p>
              </w:tc>
            </w:tr>
            <w:tr w:rsidR="00CE2248" w:rsidRPr="00CE2248" w:rsidTr="00CE2248">
              <w:tc>
                <w:tcPr>
                  <w:tcW w:w="0" w:type="auto"/>
                  <w:tcMar>
                    <w:top w:w="0" w:type="dxa"/>
                    <w:left w:w="225" w:type="dxa"/>
                    <w:bottom w:w="0" w:type="dxa"/>
                    <w:right w:w="225" w:type="dxa"/>
                  </w:tcMar>
                  <w:vAlign w:val="center"/>
                  <w:hideMark/>
                </w:tcPr>
                <w:p w:rsidR="00CE2248" w:rsidRDefault="00CE2248" w:rsidP="00CE2248">
                  <w:pPr>
                    <w:pStyle w:val="text-build-content"/>
                    <w:spacing w:line="330" w:lineRule="exact"/>
                    <w:jc w:val="both"/>
                    <w:rPr>
                      <w:rFonts w:ascii="Arial" w:eastAsia="Times New Roman" w:hAnsi="Arial" w:cs="Arial"/>
                      <w:sz w:val="21"/>
                      <w:szCs w:val="21"/>
                    </w:rPr>
                  </w:pPr>
                  <w:r w:rsidRPr="00CE2248">
                    <w:rPr>
                      <w:rFonts w:ascii="Arial" w:eastAsia="Times New Roman" w:hAnsi="Arial" w:cs="Arial"/>
                      <w:sz w:val="21"/>
                      <w:szCs w:val="21"/>
                    </w:rPr>
                    <w:t xml:space="preserve">(Source: </w:t>
                  </w:r>
                  <w:hyperlink r:id="rId17" w:tgtFrame="_blank" w:history="1">
                    <w:r w:rsidRPr="00BC4769">
                      <w:rPr>
                        <w:rFonts w:ascii="Arial" w:eastAsia="Times New Roman" w:hAnsi="Arial" w:cs="Arial"/>
                        <w:color w:val="FF0000"/>
                        <w:sz w:val="21"/>
                        <w:szCs w:val="21"/>
                      </w:rPr>
                      <w:t>https://apps.sfc.hk/edistributionWeb/gateway/EN/news-and-announcements/news/doc?refNo=25PR2</w:t>
                    </w:r>
                  </w:hyperlink>
                  <w:r w:rsidRPr="00CE2248">
                    <w:rPr>
                      <w:rFonts w:ascii="Arial" w:eastAsia="Times New Roman" w:hAnsi="Arial" w:cs="Arial"/>
                      <w:sz w:val="21"/>
                      <w:szCs w:val="21"/>
                    </w:rPr>
                    <w:t>)</w:t>
                  </w:r>
                </w:p>
                <w:p w:rsidR="00CE2248" w:rsidRDefault="00CE2248" w:rsidP="00CE2248">
                  <w:pPr>
                    <w:pStyle w:val="2"/>
                    <w:spacing w:before="150" w:after="150"/>
                    <w:jc w:val="center"/>
                    <w:rPr>
                      <w:rFonts w:ascii="Arial" w:eastAsia="Times New Roman" w:hAnsi="Arial" w:cs="Arial"/>
                      <w:color w:val="E61D24"/>
                      <w:sz w:val="30"/>
                      <w:szCs w:val="30"/>
                    </w:rPr>
                  </w:pPr>
                  <w:r>
                    <w:rPr>
                      <w:rFonts w:ascii="Arial" w:eastAsia="Times New Roman" w:hAnsi="Arial" w:cs="Arial"/>
                      <w:color w:val="E61D24"/>
                      <w:sz w:val="30"/>
                      <w:szCs w:val="30"/>
                    </w:rPr>
                    <w:t xml:space="preserve">HK SFC and HKEX Take Action </w:t>
                  </w:r>
                  <w:r w:rsidR="004D627D">
                    <w:rPr>
                      <w:rFonts w:ascii="Arial" w:eastAsia="Times New Roman" w:hAnsi="Arial" w:cs="Arial"/>
                      <w:color w:val="E61D24"/>
                      <w:sz w:val="30"/>
                      <w:szCs w:val="30"/>
                    </w:rPr>
                    <w:t>a</w:t>
                  </w:r>
                  <w:r>
                    <w:rPr>
                      <w:rFonts w:ascii="Arial" w:eastAsia="Times New Roman" w:hAnsi="Arial" w:cs="Arial"/>
                      <w:color w:val="E61D24"/>
                      <w:sz w:val="30"/>
                      <w:szCs w:val="30"/>
                    </w:rPr>
                    <w:t xml:space="preserve">gainst </w:t>
                  </w:r>
                  <w:proofErr w:type="spellStart"/>
                  <w:r>
                    <w:rPr>
                      <w:rFonts w:ascii="Arial" w:eastAsia="Times New Roman" w:hAnsi="Arial" w:cs="Arial"/>
                      <w:color w:val="E61D24"/>
                      <w:sz w:val="30"/>
                      <w:szCs w:val="30"/>
                    </w:rPr>
                    <w:t>FingerTango</w:t>
                  </w:r>
                  <w:proofErr w:type="spellEnd"/>
                  <w:r>
                    <w:rPr>
                      <w:rFonts w:ascii="Arial" w:eastAsia="Times New Roman" w:hAnsi="Arial" w:cs="Arial"/>
                      <w:color w:val="E61D24"/>
                      <w:sz w:val="30"/>
                      <w:szCs w:val="30"/>
                    </w:rPr>
                    <w:t xml:space="preserve"> Inc. and Former Directors Over HK$660 </w:t>
                  </w:r>
                  <w:proofErr w:type="gramStart"/>
                  <w:r>
                    <w:rPr>
                      <w:rFonts w:ascii="Arial" w:eastAsia="Times New Roman" w:hAnsi="Arial" w:cs="Arial"/>
                      <w:color w:val="E61D24"/>
                      <w:sz w:val="30"/>
                      <w:szCs w:val="30"/>
                    </w:rPr>
                    <w:t>Million</w:t>
                  </w:r>
                  <w:proofErr w:type="gramEnd"/>
                  <w:r>
                    <w:rPr>
                      <w:rFonts w:ascii="Arial" w:eastAsia="Times New Roman" w:hAnsi="Arial" w:cs="Arial"/>
                      <w:color w:val="E61D24"/>
                      <w:sz w:val="30"/>
                      <w:szCs w:val="30"/>
                    </w:rPr>
                    <w:t xml:space="preserve"> Losses</w:t>
                  </w:r>
                </w:p>
                <w:tbl>
                  <w:tblPr>
                    <w:tblW w:w="5000" w:type="pct"/>
                    <w:tblCellMar>
                      <w:left w:w="0" w:type="dxa"/>
                      <w:right w:w="0" w:type="dxa"/>
                    </w:tblCellMar>
                    <w:tblLook w:val="04A0" w:firstRow="1" w:lastRow="0" w:firstColumn="1" w:lastColumn="0" w:noHBand="0" w:noVBand="1"/>
                  </w:tblPr>
                  <w:tblGrid>
                    <w:gridCol w:w="9278"/>
                  </w:tblGrid>
                  <w:tr w:rsidR="00CE2248" w:rsidTr="00CE2248">
                    <w:tc>
                      <w:tcPr>
                        <w:tcW w:w="0" w:type="auto"/>
                        <w:tcMar>
                          <w:top w:w="0" w:type="dxa"/>
                          <w:left w:w="225" w:type="dxa"/>
                          <w:bottom w:w="0" w:type="dxa"/>
                          <w:right w:w="225" w:type="dxa"/>
                        </w:tcMar>
                        <w:vAlign w:val="center"/>
                        <w:hideMark/>
                      </w:tcPr>
                      <w:p w:rsidR="00CE2248" w:rsidRPr="00CE2248" w:rsidRDefault="00CE2248">
                        <w:pPr>
                          <w:pStyle w:val="text-build-content"/>
                          <w:spacing w:before="150" w:after="150" w:line="330" w:lineRule="exact"/>
                          <w:jc w:val="both"/>
                          <w:rPr>
                            <w:rFonts w:ascii="Verdana" w:hAnsi="Verdana"/>
                            <w:sz w:val="21"/>
                            <w:szCs w:val="21"/>
                          </w:rPr>
                        </w:pPr>
                        <w:r w:rsidRPr="00CE2248">
                          <w:rPr>
                            <w:rFonts w:ascii="Arial" w:hAnsi="Arial" w:cs="Arial"/>
                            <w:sz w:val="21"/>
                            <w:szCs w:val="21"/>
                          </w:rPr>
                          <w:t>On 16 January 2025, the Hong Kong Securities and Futures Commission (</w:t>
                        </w:r>
                        <w:r w:rsidRPr="00BC4769">
                          <w:rPr>
                            <w:rFonts w:ascii="Arial" w:hAnsi="Arial" w:cs="Arial"/>
                            <w:b/>
                            <w:sz w:val="21"/>
                            <w:szCs w:val="21"/>
                          </w:rPr>
                          <w:t>HK SFC</w:t>
                        </w:r>
                        <w:r w:rsidRPr="00CE2248">
                          <w:rPr>
                            <w:rFonts w:ascii="Arial" w:hAnsi="Arial" w:cs="Arial"/>
                            <w:sz w:val="21"/>
                            <w:szCs w:val="21"/>
                          </w:rPr>
                          <w:t>) and The Stock Exchange of Hong Kong Limited (</w:t>
                        </w:r>
                        <w:r w:rsidRPr="00BC4769">
                          <w:rPr>
                            <w:rFonts w:ascii="Arial" w:hAnsi="Arial" w:cs="Arial"/>
                            <w:b/>
                            <w:sz w:val="21"/>
                            <w:szCs w:val="21"/>
                          </w:rPr>
                          <w:t>HKEX</w:t>
                        </w:r>
                        <w:r w:rsidRPr="00CE2248">
                          <w:rPr>
                            <w:rFonts w:ascii="Arial" w:hAnsi="Arial" w:cs="Arial"/>
                            <w:sz w:val="21"/>
                            <w:szCs w:val="21"/>
                          </w:rPr>
                          <w:t xml:space="preserve">) announced </w:t>
                        </w:r>
                        <w:r w:rsidR="0030648D">
                          <w:rPr>
                            <w:rFonts w:ascii="Arial" w:hAnsi="Arial" w:cs="Arial"/>
                            <w:sz w:val="21"/>
                            <w:szCs w:val="21"/>
                          </w:rPr>
                          <w:t xml:space="preserve">their </w:t>
                        </w:r>
                        <w:r w:rsidRPr="00CE2248">
                          <w:rPr>
                            <w:rFonts w:ascii="Arial" w:hAnsi="Arial" w:cs="Arial"/>
                            <w:sz w:val="21"/>
                            <w:szCs w:val="21"/>
                          </w:rPr>
                          <w:t xml:space="preserve">joint enforcement action against </w:t>
                        </w:r>
                        <w:proofErr w:type="spellStart"/>
                        <w:r w:rsidRPr="00CE2248">
                          <w:rPr>
                            <w:rFonts w:ascii="Arial" w:hAnsi="Arial" w:cs="Arial"/>
                            <w:sz w:val="21"/>
                            <w:szCs w:val="21"/>
                          </w:rPr>
                          <w:t>FingerTango</w:t>
                        </w:r>
                        <w:proofErr w:type="spellEnd"/>
                        <w:r w:rsidRPr="00CE2248">
                          <w:rPr>
                            <w:rFonts w:ascii="Arial" w:hAnsi="Arial" w:cs="Arial"/>
                            <w:sz w:val="21"/>
                            <w:szCs w:val="21"/>
                          </w:rPr>
                          <w:t xml:space="preserve"> Inc., an HKEX Main </w:t>
                        </w:r>
                        <w:r w:rsidR="0030648D">
                          <w:rPr>
                            <w:rFonts w:ascii="Arial" w:hAnsi="Arial" w:cs="Arial"/>
                            <w:sz w:val="21"/>
                            <w:szCs w:val="21"/>
                          </w:rPr>
                          <w:t>B</w:t>
                        </w:r>
                        <w:r w:rsidRPr="00CE2248">
                          <w:rPr>
                            <w:rFonts w:ascii="Arial" w:hAnsi="Arial" w:cs="Arial"/>
                            <w:sz w:val="21"/>
                            <w:szCs w:val="21"/>
                          </w:rPr>
                          <w:t>oard</w:t>
                        </w:r>
                        <w:r w:rsidR="0027449B">
                          <w:rPr>
                            <w:rFonts w:ascii="Arial" w:hAnsi="Arial" w:cs="Arial"/>
                            <w:sz w:val="21"/>
                            <w:szCs w:val="21"/>
                          </w:rPr>
                          <w:t>-</w:t>
                        </w:r>
                        <w:r w:rsidRPr="00CE2248">
                          <w:rPr>
                            <w:rFonts w:ascii="Arial" w:hAnsi="Arial" w:cs="Arial"/>
                            <w:sz w:val="21"/>
                            <w:szCs w:val="21"/>
                          </w:rPr>
                          <w:t xml:space="preserve">listed company, and its eight former directors for alleged misconduct resulting in losses exceeding HK$660 million. The coordinated efforts led to </w:t>
                        </w:r>
                        <w:hyperlink r:id="rId18" w:history="1">
                          <w:r w:rsidRPr="001446C7">
                            <w:rPr>
                              <w:rStyle w:val="af"/>
                              <w:rFonts w:ascii="Arial" w:hAnsi="Arial" w:cs="Arial"/>
                              <w:color w:val="FF0000"/>
                              <w:sz w:val="21"/>
                              <w:szCs w:val="21"/>
                            </w:rPr>
                            <w:t xml:space="preserve">disciplinary </w:t>
                          </w:r>
                          <w:r w:rsidR="004D627D" w:rsidRPr="001446C7">
                            <w:rPr>
                              <w:rStyle w:val="af"/>
                              <w:rFonts w:ascii="Arial" w:hAnsi="Arial" w:cs="Arial"/>
                              <w:color w:val="FF0000"/>
                              <w:sz w:val="21"/>
                              <w:szCs w:val="21"/>
                            </w:rPr>
                            <w:t>sanctions</w:t>
                          </w:r>
                        </w:hyperlink>
                        <w:r w:rsidR="004D627D">
                          <w:rPr>
                            <w:rFonts w:ascii="Arial" w:hAnsi="Arial" w:cs="Arial"/>
                            <w:sz w:val="21"/>
                            <w:szCs w:val="21"/>
                          </w:rPr>
                          <w:t xml:space="preserve"> being imposed </w:t>
                        </w:r>
                        <w:r w:rsidRPr="00CE2248">
                          <w:rPr>
                            <w:rFonts w:ascii="Arial" w:hAnsi="Arial" w:cs="Arial"/>
                            <w:sz w:val="21"/>
                            <w:szCs w:val="21"/>
                          </w:rPr>
                          <w:t xml:space="preserve">by the </w:t>
                        </w:r>
                        <w:r w:rsidR="004D627D">
                          <w:rPr>
                            <w:rFonts w:ascii="Arial" w:hAnsi="Arial" w:cs="Arial"/>
                            <w:sz w:val="21"/>
                            <w:szCs w:val="21"/>
                          </w:rPr>
                          <w:t>HK</w:t>
                        </w:r>
                        <w:r w:rsidRPr="00CE2248">
                          <w:rPr>
                            <w:rFonts w:ascii="Arial" w:hAnsi="Arial" w:cs="Arial"/>
                            <w:sz w:val="21"/>
                            <w:szCs w:val="21"/>
                          </w:rPr>
                          <w:t>E</w:t>
                        </w:r>
                        <w:r w:rsidR="004D627D">
                          <w:rPr>
                            <w:rFonts w:ascii="Arial" w:hAnsi="Arial" w:cs="Arial"/>
                            <w:sz w:val="21"/>
                            <w:szCs w:val="21"/>
                          </w:rPr>
                          <w:t>X</w:t>
                        </w:r>
                        <w:r w:rsidRPr="00CE2248">
                          <w:rPr>
                            <w:rFonts w:ascii="Arial" w:hAnsi="Arial" w:cs="Arial"/>
                            <w:sz w:val="21"/>
                            <w:szCs w:val="21"/>
                          </w:rPr>
                          <w:t xml:space="preserve"> and legal proceedings </w:t>
                        </w:r>
                        <w:r w:rsidR="004D627D">
                          <w:rPr>
                            <w:rFonts w:ascii="Arial" w:hAnsi="Arial" w:cs="Arial"/>
                            <w:sz w:val="21"/>
                            <w:szCs w:val="21"/>
                          </w:rPr>
                          <w:t xml:space="preserve">being </w:t>
                        </w:r>
                        <w:r w:rsidRPr="00CE2248">
                          <w:rPr>
                            <w:rFonts w:ascii="Arial" w:hAnsi="Arial" w:cs="Arial"/>
                            <w:sz w:val="21"/>
                            <w:szCs w:val="21"/>
                          </w:rPr>
                          <w:t>initiated by the HK SFC at the Court of First Instance.</w:t>
                        </w:r>
                      </w:p>
                    </w:tc>
                  </w:tr>
                  <w:tr w:rsidR="00CE2248" w:rsidTr="00CE2248">
                    <w:tc>
                      <w:tcPr>
                        <w:tcW w:w="0" w:type="auto"/>
                        <w:tcMar>
                          <w:top w:w="0" w:type="dxa"/>
                          <w:left w:w="225" w:type="dxa"/>
                          <w:bottom w:w="0" w:type="dxa"/>
                          <w:right w:w="225" w:type="dxa"/>
                        </w:tcMar>
                        <w:vAlign w:val="center"/>
                        <w:hideMark/>
                      </w:tcPr>
                      <w:p w:rsidR="00CE2248" w:rsidRPr="00CE2248" w:rsidRDefault="00CE2248">
                        <w:pPr>
                          <w:pStyle w:val="text-build-content"/>
                          <w:spacing w:before="150" w:after="150" w:line="330" w:lineRule="exact"/>
                          <w:jc w:val="both"/>
                          <w:rPr>
                            <w:rFonts w:ascii="Verdana" w:hAnsi="Verdana"/>
                            <w:sz w:val="21"/>
                            <w:szCs w:val="21"/>
                          </w:rPr>
                        </w:pPr>
                        <w:r w:rsidRPr="00CE2248">
                          <w:rPr>
                            <w:rFonts w:ascii="Arial" w:hAnsi="Arial" w:cs="Arial"/>
                            <w:sz w:val="21"/>
                            <w:szCs w:val="21"/>
                          </w:rPr>
                          <w:t xml:space="preserve">The case </w:t>
                        </w:r>
                        <w:r w:rsidR="000D229D">
                          <w:rPr>
                            <w:rFonts w:ascii="Arial" w:hAnsi="Arial" w:cs="Arial"/>
                            <w:sz w:val="21"/>
                            <w:szCs w:val="21"/>
                          </w:rPr>
                          <w:t xml:space="preserve">concerns </w:t>
                        </w:r>
                        <w:r w:rsidRPr="00CE2248">
                          <w:rPr>
                            <w:rFonts w:ascii="Arial" w:hAnsi="Arial" w:cs="Arial"/>
                            <w:sz w:val="21"/>
                            <w:szCs w:val="21"/>
                          </w:rPr>
                          <w:t xml:space="preserve">improper investments and loans made by </w:t>
                        </w:r>
                        <w:proofErr w:type="spellStart"/>
                        <w:r w:rsidRPr="00CE2248">
                          <w:rPr>
                            <w:rFonts w:ascii="Arial" w:hAnsi="Arial" w:cs="Arial"/>
                            <w:sz w:val="21"/>
                            <w:szCs w:val="21"/>
                          </w:rPr>
                          <w:t>FingerTango</w:t>
                        </w:r>
                        <w:proofErr w:type="spellEnd"/>
                        <w:r w:rsidRPr="00CE2248">
                          <w:rPr>
                            <w:rFonts w:ascii="Arial" w:hAnsi="Arial" w:cs="Arial"/>
                            <w:sz w:val="21"/>
                            <w:szCs w:val="21"/>
                          </w:rPr>
                          <w:t xml:space="preserve"> and its subsidiaries</w:t>
                        </w:r>
                        <w:r w:rsidR="00603D61">
                          <w:rPr>
                            <w:rFonts w:ascii="Arial" w:hAnsi="Arial" w:cs="Arial"/>
                            <w:sz w:val="21"/>
                            <w:szCs w:val="21"/>
                          </w:rPr>
                          <w:t>, which resulted in substantial losses being incurred by the listed group</w:t>
                        </w:r>
                        <w:r w:rsidR="000D229D">
                          <w:rPr>
                            <w:rFonts w:ascii="Arial" w:hAnsi="Arial" w:cs="Arial"/>
                            <w:sz w:val="21"/>
                            <w:szCs w:val="21"/>
                          </w:rPr>
                          <w:t xml:space="preserve">. </w:t>
                        </w:r>
                        <w:r w:rsidRPr="00CE2248">
                          <w:rPr>
                            <w:rFonts w:ascii="Arial" w:hAnsi="Arial" w:cs="Arial"/>
                            <w:sz w:val="21"/>
                            <w:szCs w:val="21"/>
                          </w:rPr>
                          <w:t xml:space="preserve">The misconduct </w:t>
                        </w:r>
                        <w:r w:rsidR="00603D61">
                          <w:rPr>
                            <w:rFonts w:ascii="Arial" w:hAnsi="Arial" w:cs="Arial"/>
                            <w:sz w:val="21"/>
                            <w:szCs w:val="21"/>
                          </w:rPr>
                          <w:t xml:space="preserve">identified by the HKEX in its </w:t>
                        </w:r>
                        <w:hyperlink r:id="rId19" w:history="1">
                          <w:r w:rsidR="00603D61" w:rsidRPr="001446C7">
                            <w:rPr>
                              <w:rStyle w:val="af"/>
                              <w:rFonts w:ascii="Arial" w:hAnsi="Arial" w:cs="Arial"/>
                              <w:color w:val="FF0000"/>
                              <w:sz w:val="21"/>
                              <w:szCs w:val="21"/>
                            </w:rPr>
                            <w:t>Statement of Disciplinary Action</w:t>
                          </w:r>
                        </w:hyperlink>
                        <w:r w:rsidR="00603D61">
                          <w:rPr>
                            <w:rFonts w:ascii="Arial" w:hAnsi="Arial" w:cs="Arial"/>
                            <w:sz w:val="21"/>
                            <w:szCs w:val="21"/>
                          </w:rPr>
                          <w:t xml:space="preserve"> </w:t>
                        </w:r>
                        <w:r w:rsidRPr="00CE2248">
                          <w:rPr>
                            <w:rFonts w:ascii="Arial" w:hAnsi="Arial" w:cs="Arial"/>
                            <w:sz w:val="21"/>
                            <w:szCs w:val="21"/>
                          </w:rPr>
                          <w:t>includes breaches of directors’ duties, inadequate internal oversight, and lax governance policies. The HK SFC is seeking disqualification and compensation orders against the company</w:t>
                        </w:r>
                        <w:r w:rsidR="00603D61">
                          <w:rPr>
                            <w:rFonts w:ascii="Arial" w:hAnsi="Arial" w:cs="Arial"/>
                            <w:sz w:val="21"/>
                            <w:szCs w:val="21"/>
                          </w:rPr>
                          <w:t>’s</w:t>
                        </w:r>
                        <w:r w:rsidRPr="00CE2248">
                          <w:rPr>
                            <w:rFonts w:ascii="Arial" w:hAnsi="Arial" w:cs="Arial"/>
                            <w:sz w:val="21"/>
                            <w:szCs w:val="21"/>
                          </w:rPr>
                          <w:t xml:space="preserve"> former directors.</w:t>
                        </w:r>
                        <w:r w:rsidR="00997409">
                          <w:rPr>
                            <w:rFonts w:ascii="Arial" w:hAnsi="Arial" w:cs="Arial"/>
                            <w:sz w:val="21"/>
                            <w:szCs w:val="21"/>
                          </w:rPr>
                          <w:t xml:space="preserve"> It </w:t>
                        </w:r>
                        <w:r w:rsidR="0006066D">
                          <w:rPr>
                            <w:rFonts w:ascii="Arial" w:hAnsi="Arial" w:cs="Arial"/>
                            <w:sz w:val="21"/>
                            <w:szCs w:val="21"/>
                          </w:rPr>
                          <w:t xml:space="preserve">is seeking orders for the former directors to compensate Finger Tango for the losses, which the SFC </w:t>
                        </w:r>
                        <w:r w:rsidR="00997409">
                          <w:rPr>
                            <w:rFonts w:ascii="Arial" w:hAnsi="Arial" w:cs="Arial"/>
                            <w:sz w:val="21"/>
                            <w:szCs w:val="21"/>
                          </w:rPr>
                          <w:t xml:space="preserve">alleges </w:t>
                        </w:r>
                        <w:r w:rsidR="0006066D">
                          <w:rPr>
                            <w:rFonts w:ascii="Arial" w:hAnsi="Arial" w:cs="Arial"/>
                            <w:sz w:val="21"/>
                            <w:szCs w:val="21"/>
                          </w:rPr>
                          <w:t xml:space="preserve">are </w:t>
                        </w:r>
                        <w:r w:rsidR="00997409">
                          <w:rPr>
                            <w:rFonts w:ascii="Arial" w:hAnsi="Arial" w:cs="Arial"/>
                            <w:sz w:val="21"/>
                            <w:szCs w:val="21"/>
                          </w:rPr>
                          <w:t>attributable to the former directors’</w:t>
                        </w:r>
                        <w:r w:rsidR="0006066D">
                          <w:rPr>
                            <w:rFonts w:ascii="Arial" w:hAnsi="Arial" w:cs="Arial"/>
                            <w:sz w:val="21"/>
                            <w:szCs w:val="21"/>
                          </w:rPr>
                          <w:t xml:space="preserve"> breaches of their</w:t>
                        </w:r>
                        <w:r w:rsidR="00997409">
                          <w:rPr>
                            <w:rFonts w:ascii="Arial" w:hAnsi="Arial" w:cs="Arial"/>
                            <w:sz w:val="21"/>
                            <w:szCs w:val="21"/>
                          </w:rPr>
                          <w:t xml:space="preserve"> duties owed to </w:t>
                        </w:r>
                        <w:r w:rsidR="0006066D">
                          <w:rPr>
                            <w:rFonts w:ascii="Arial" w:hAnsi="Arial" w:cs="Arial"/>
                            <w:sz w:val="21"/>
                            <w:szCs w:val="21"/>
                          </w:rPr>
                          <w:t>the company.</w:t>
                        </w:r>
                      </w:p>
                    </w:tc>
                  </w:tr>
                  <w:tr w:rsidR="00CE2248" w:rsidTr="00CE2248">
                    <w:tc>
                      <w:tcPr>
                        <w:tcW w:w="0" w:type="auto"/>
                        <w:tcMar>
                          <w:top w:w="0" w:type="dxa"/>
                          <w:left w:w="225" w:type="dxa"/>
                          <w:bottom w:w="0" w:type="dxa"/>
                          <w:right w:w="225" w:type="dxa"/>
                        </w:tcMar>
                        <w:vAlign w:val="center"/>
                        <w:hideMark/>
                      </w:tcPr>
                      <w:p w:rsidR="00CE2248" w:rsidRPr="00CE2248" w:rsidRDefault="00CE2248" w:rsidP="00CE2248">
                        <w:pPr>
                          <w:pStyle w:val="text-build-content"/>
                          <w:spacing w:before="150" w:after="150" w:line="330" w:lineRule="exact"/>
                          <w:jc w:val="both"/>
                          <w:rPr>
                            <w:rFonts w:ascii="Verdana" w:hAnsi="Verdana"/>
                            <w:sz w:val="21"/>
                            <w:szCs w:val="21"/>
                          </w:rPr>
                        </w:pPr>
                        <w:proofErr w:type="spellStart"/>
                        <w:r w:rsidRPr="00CE2248">
                          <w:rPr>
                            <w:rFonts w:ascii="Arial" w:hAnsi="Arial" w:cs="Arial"/>
                            <w:sz w:val="21"/>
                            <w:szCs w:val="21"/>
                          </w:rPr>
                          <w:t>FingerTango</w:t>
                        </w:r>
                        <w:proofErr w:type="spellEnd"/>
                        <w:r w:rsidRPr="00CE2248">
                          <w:rPr>
                            <w:rFonts w:ascii="Arial" w:hAnsi="Arial" w:cs="Arial"/>
                            <w:sz w:val="21"/>
                            <w:szCs w:val="21"/>
                          </w:rPr>
                          <w:t xml:space="preserve">, listed on the HKEX in July 2018, raised significant capital through its initial public offering. However, </w:t>
                        </w:r>
                        <w:r w:rsidR="00A63D8A">
                          <w:rPr>
                            <w:rFonts w:ascii="Arial" w:hAnsi="Arial" w:cs="Arial"/>
                            <w:sz w:val="21"/>
                            <w:szCs w:val="21"/>
                          </w:rPr>
                          <w:t>at the time of listing, the board approved a policy that allowed investment decisions to be made without its approval. S</w:t>
                        </w:r>
                        <w:r w:rsidRPr="00CE2248">
                          <w:rPr>
                            <w:rFonts w:ascii="Arial" w:hAnsi="Arial" w:cs="Arial"/>
                            <w:sz w:val="21"/>
                            <w:szCs w:val="21"/>
                          </w:rPr>
                          <w:t>hortly after listing, the company invested HK$450 million in a fund without the board’s knowledge. A partial redemption in December 2019 led to a subsequent investment of HK$250 million in loan notes issued by a small private firm. These investments resulted in a loss of HK$258.75 million following the issuer’s default.</w:t>
                        </w:r>
                      </w:p>
                    </w:tc>
                  </w:tr>
                  <w:tr w:rsidR="00CE2248" w:rsidTr="00CE2248">
                    <w:tc>
                      <w:tcPr>
                        <w:tcW w:w="0" w:type="auto"/>
                        <w:tcMar>
                          <w:top w:w="0" w:type="dxa"/>
                          <w:left w:w="225" w:type="dxa"/>
                          <w:bottom w:w="0" w:type="dxa"/>
                          <w:right w:w="225" w:type="dxa"/>
                        </w:tcMar>
                        <w:vAlign w:val="center"/>
                        <w:hideMark/>
                      </w:tcPr>
                      <w:p w:rsidR="00CE2248" w:rsidRPr="00CE2248" w:rsidRDefault="00CE2248" w:rsidP="00CE2248">
                        <w:pPr>
                          <w:pStyle w:val="text-build-content"/>
                          <w:spacing w:before="150" w:after="150" w:line="330" w:lineRule="exact"/>
                          <w:jc w:val="both"/>
                          <w:rPr>
                            <w:rFonts w:ascii="Verdana" w:hAnsi="Verdana"/>
                            <w:sz w:val="21"/>
                            <w:szCs w:val="21"/>
                          </w:rPr>
                        </w:pPr>
                        <w:r w:rsidRPr="00CE2248">
                          <w:rPr>
                            <w:rFonts w:ascii="Arial" w:hAnsi="Arial" w:cs="Arial"/>
                            <w:sz w:val="21"/>
                            <w:szCs w:val="21"/>
                          </w:rPr>
                          <w:t xml:space="preserve">Between May 2020 and March 2021, the company and its subsidiaries entered into 20 loan agreements worth over HK$500 million with 15 borrowers. Over 80% of these loans defaulted, </w:t>
                        </w:r>
                        <w:r w:rsidRPr="00CE2248">
                          <w:rPr>
                            <w:rFonts w:ascii="Arial" w:hAnsi="Arial" w:cs="Arial"/>
                            <w:sz w:val="21"/>
                            <w:szCs w:val="21"/>
                          </w:rPr>
                          <w:lastRenderedPageBreak/>
                          <w:t xml:space="preserve">causing an impairment loss of approximately HK$424 million. In total, </w:t>
                        </w:r>
                        <w:proofErr w:type="spellStart"/>
                        <w:r w:rsidRPr="00CE2248">
                          <w:rPr>
                            <w:rFonts w:ascii="Arial" w:hAnsi="Arial" w:cs="Arial"/>
                            <w:sz w:val="21"/>
                            <w:szCs w:val="21"/>
                          </w:rPr>
                          <w:t>FingerTango</w:t>
                        </w:r>
                        <w:proofErr w:type="spellEnd"/>
                        <w:r w:rsidRPr="00CE2248">
                          <w:rPr>
                            <w:rFonts w:ascii="Arial" w:hAnsi="Arial" w:cs="Arial"/>
                            <w:sz w:val="21"/>
                            <w:szCs w:val="21"/>
                          </w:rPr>
                          <w:t xml:space="preserve"> and its subsidiaries incurred combined losses exceeding HK$660 million.</w:t>
                        </w:r>
                      </w:p>
                    </w:tc>
                  </w:tr>
                  <w:tr w:rsidR="00CE2248" w:rsidTr="00CE2248">
                    <w:tc>
                      <w:tcPr>
                        <w:tcW w:w="0" w:type="auto"/>
                        <w:tcMar>
                          <w:top w:w="0" w:type="dxa"/>
                          <w:left w:w="225" w:type="dxa"/>
                          <w:bottom w:w="0" w:type="dxa"/>
                          <w:right w:w="225" w:type="dxa"/>
                        </w:tcMar>
                        <w:vAlign w:val="center"/>
                        <w:hideMark/>
                      </w:tcPr>
                      <w:p w:rsidR="00CE2248" w:rsidRPr="00CE2248" w:rsidRDefault="00CE2248">
                        <w:pPr>
                          <w:pStyle w:val="text-build-content"/>
                          <w:spacing w:before="150" w:after="150" w:line="330" w:lineRule="exact"/>
                          <w:jc w:val="both"/>
                          <w:rPr>
                            <w:rFonts w:ascii="Verdana" w:hAnsi="Verdana"/>
                            <w:sz w:val="21"/>
                            <w:szCs w:val="21"/>
                          </w:rPr>
                        </w:pPr>
                        <w:r w:rsidRPr="00CE2248">
                          <w:rPr>
                            <w:rFonts w:ascii="Arial" w:hAnsi="Arial" w:cs="Arial"/>
                            <w:sz w:val="21"/>
                            <w:szCs w:val="21"/>
                          </w:rPr>
                          <w:lastRenderedPageBreak/>
                          <w:t>In October 2023, the SFC launched legal proceedings under Section 214 of the Hong Kong Securities and Futures Ordinance (</w:t>
                        </w:r>
                        <w:r w:rsidRPr="00BC4769">
                          <w:rPr>
                            <w:rFonts w:ascii="Arial" w:hAnsi="Arial" w:cs="Arial"/>
                            <w:b/>
                            <w:sz w:val="21"/>
                            <w:szCs w:val="21"/>
                          </w:rPr>
                          <w:t>HK SFO</w:t>
                        </w:r>
                        <w:r w:rsidRPr="00CE2248">
                          <w:rPr>
                            <w:rFonts w:ascii="Arial" w:hAnsi="Arial" w:cs="Arial"/>
                            <w:sz w:val="21"/>
                            <w:szCs w:val="21"/>
                          </w:rPr>
                          <w:t>) to hold the former directors accountable. The scope of the legal action was expanded in November 2024 to include the defaulted loans from 2020–2021, citing failures to conduct proper due diligence and</w:t>
                        </w:r>
                        <w:r w:rsidR="0006066D">
                          <w:rPr>
                            <w:rFonts w:ascii="Arial" w:hAnsi="Arial" w:cs="Arial"/>
                            <w:sz w:val="21"/>
                            <w:szCs w:val="21"/>
                          </w:rPr>
                          <w:t xml:space="preserve"> ensure the implementation of proper internal controls</w:t>
                        </w:r>
                        <w:r w:rsidRPr="00CE2248">
                          <w:rPr>
                            <w:rFonts w:ascii="Arial" w:hAnsi="Arial" w:cs="Arial"/>
                            <w:sz w:val="21"/>
                            <w:szCs w:val="21"/>
                          </w:rPr>
                          <w:t xml:space="preserve">. The directors named in the proceedings include Liu Jie (former chairman and CEO), Wang </w:t>
                        </w:r>
                        <w:proofErr w:type="spellStart"/>
                        <w:r w:rsidRPr="00CE2248">
                          <w:rPr>
                            <w:rFonts w:ascii="Arial" w:hAnsi="Arial" w:cs="Arial"/>
                            <w:sz w:val="21"/>
                            <w:szCs w:val="21"/>
                          </w:rPr>
                          <w:t>Zaicheng</w:t>
                        </w:r>
                        <w:proofErr w:type="spellEnd"/>
                        <w:r w:rsidRPr="00CE2248">
                          <w:rPr>
                            <w:rFonts w:ascii="Arial" w:hAnsi="Arial" w:cs="Arial"/>
                            <w:sz w:val="21"/>
                            <w:szCs w:val="21"/>
                          </w:rPr>
                          <w:t xml:space="preserve">, Liu </w:t>
                        </w:r>
                        <w:proofErr w:type="spellStart"/>
                        <w:r w:rsidRPr="00CE2248">
                          <w:rPr>
                            <w:rFonts w:ascii="Arial" w:hAnsi="Arial" w:cs="Arial"/>
                            <w:sz w:val="21"/>
                            <w:szCs w:val="21"/>
                          </w:rPr>
                          <w:t>Zhanxi</w:t>
                        </w:r>
                        <w:proofErr w:type="spellEnd"/>
                        <w:r w:rsidRPr="00CE2248">
                          <w:rPr>
                            <w:rFonts w:ascii="Arial" w:hAnsi="Arial" w:cs="Arial"/>
                            <w:sz w:val="21"/>
                            <w:szCs w:val="21"/>
                          </w:rPr>
                          <w:t xml:space="preserve">, Zhu </w:t>
                        </w:r>
                        <w:proofErr w:type="spellStart"/>
                        <w:r w:rsidRPr="00CE2248">
                          <w:rPr>
                            <w:rFonts w:ascii="Arial" w:hAnsi="Arial" w:cs="Arial"/>
                            <w:sz w:val="21"/>
                            <w:szCs w:val="21"/>
                          </w:rPr>
                          <w:t>Yanbin</w:t>
                        </w:r>
                        <w:proofErr w:type="spellEnd"/>
                        <w:r w:rsidRPr="00CE2248">
                          <w:rPr>
                            <w:rFonts w:ascii="Arial" w:hAnsi="Arial" w:cs="Arial"/>
                            <w:sz w:val="21"/>
                            <w:szCs w:val="21"/>
                          </w:rPr>
                          <w:t>, and other former executives and independent directors.</w:t>
                        </w:r>
                      </w:p>
                    </w:tc>
                  </w:tr>
                  <w:tr w:rsidR="00CE2248" w:rsidTr="00CE2248">
                    <w:tc>
                      <w:tcPr>
                        <w:tcW w:w="0" w:type="auto"/>
                        <w:tcMar>
                          <w:top w:w="0" w:type="dxa"/>
                          <w:left w:w="225" w:type="dxa"/>
                          <w:bottom w:w="0" w:type="dxa"/>
                          <w:right w:w="225" w:type="dxa"/>
                        </w:tcMar>
                        <w:vAlign w:val="center"/>
                        <w:hideMark/>
                      </w:tcPr>
                      <w:p w:rsidR="00CE2248" w:rsidRPr="00CE2248" w:rsidRDefault="00CE2248" w:rsidP="00CE2248">
                        <w:pPr>
                          <w:pStyle w:val="text-build-content"/>
                          <w:spacing w:before="150" w:after="150" w:line="330" w:lineRule="exact"/>
                          <w:jc w:val="both"/>
                          <w:rPr>
                            <w:rFonts w:ascii="Verdana" w:hAnsi="Verdana"/>
                            <w:sz w:val="21"/>
                            <w:szCs w:val="21"/>
                          </w:rPr>
                        </w:pPr>
                        <w:r w:rsidRPr="00CE2248">
                          <w:rPr>
                            <w:rFonts w:ascii="Arial" w:hAnsi="Arial" w:cs="Arial"/>
                            <w:sz w:val="21"/>
                            <w:szCs w:val="21"/>
                          </w:rPr>
                          <w:t>The HK SFC and HKEX’s coordinated action underscores the importance of proactive governance and robust internal controls. Christopher Wilson, Executive Director of Enforcement at the HK SFC, discussed the role of corporate directors in overseeing management activities and ensuring the integrity of decision-making processes. He noted that lax policies cannot absolve directors of their responsibilities, highlighting the importance of fostering a culture of accountability and ethical conduct.</w:t>
                        </w:r>
                      </w:p>
                    </w:tc>
                  </w:tr>
                  <w:tr w:rsidR="00CE2248" w:rsidTr="00CE2248">
                    <w:tc>
                      <w:tcPr>
                        <w:tcW w:w="0" w:type="auto"/>
                        <w:tcMar>
                          <w:top w:w="0" w:type="dxa"/>
                          <w:left w:w="225" w:type="dxa"/>
                          <w:bottom w:w="0" w:type="dxa"/>
                          <w:right w:w="225" w:type="dxa"/>
                        </w:tcMar>
                        <w:vAlign w:val="center"/>
                        <w:hideMark/>
                      </w:tcPr>
                      <w:p w:rsidR="00CE2248" w:rsidRPr="00CE2248" w:rsidRDefault="00CE2248">
                        <w:pPr>
                          <w:pStyle w:val="text-build-content"/>
                          <w:spacing w:before="150" w:after="150" w:line="330" w:lineRule="exact"/>
                          <w:jc w:val="both"/>
                          <w:rPr>
                            <w:rFonts w:ascii="Verdana" w:hAnsi="Verdana"/>
                            <w:sz w:val="21"/>
                            <w:szCs w:val="21"/>
                          </w:rPr>
                        </w:pPr>
                        <w:r w:rsidRPr="00CE2248">
                          <w:rPr>
                            <w:rFonts w:ascii="Arial" w:hAnsi="Arial" w:cs="Arial"/>
                            <w:sz w:val="21"/>
                            <w:szCs w:val="21"/>
                          </w:rPr>
                          <w:t xml:space="preserve">This enforcement action follows </w:t>
                        </w:r>
                        <w:hyperlink r:id="rId20" w:history="1">
                          <w:r w:rsidRPr="001446C7">
                            <w:rPr>
                              <w:rStyle w:val="af"/>
                              <w:rFonts w:ascii="Arial" w:hAnsi="Arial" w:cs="Arial"/>
                              <w:color w:val="FF0000"/>
                              <w:sz w:val="21"/>
                              <w:szCs w:val="21"/>
                            </w:rPr>
                            <w:t>a joint statement</w:t>
                          </w:r>
                        </w:hyperlink>
                        <w:r w:rsidRPr="00CE2248">
                          <w:rPr>
                            <w:rFonts w:ascii="Arial" w:hAnsi="Arial" w:cs="Arial"/>
                            <w:sz w:val="21"/>
                            <w:szCs w:val="21"/>
                          </w:rPr>
                          <w:t xml:space="preserve"> issued in July 2023 by the HK SFC and the Hong Kong Accounting and Financial Reporting Council, stressing the need for stringent oversight </w:t>
                        </w:r>
                        <w:r w:rsidR="0027449B">
                          <w:rPr>
                            <w:rFonts w:ascii="Arial" w:hAnsi="Arial" w:cs="Arial"/>
                            <w:sz w:val="21"/>
                            <w:szCs w:val="21"/>
                          </w:rPr>
                          <w:t>of</w:t>
                        </w:r>
                        <w:r w:rsidRPr="00CE2248">
                          <w:rPr>
                            <w:rFonts w:ascii="Arial" w:hAnsi="Arial" w:cs="Arial"/>
                            <w:sz w:val="21"/>
                            <w:szCs w:val="21"/>
                          </w:rPr>
                          <w:t xml:space="preserve"> financial transactions, particularly loans. The statement called on boards of directors, including audit committees, to safeguard corporate assets and prevent </w:t>
                        </w:r>
                        <w:r w:rsidR="0027449B">
                          <w:rPr>
                            <w:rFonts w:ascii="Arial" w:hAnsi="Arial" w:cs="Arial"/>
                            <w:sz w:val="21"/>
                            <w:szCs w:val="21"/>
                          </w:rPr>
                          <w:t xml:space="preserve">their </w:t>
                        </w:r>
                        <w:r w:rsidRPr="00CE2248">
                          <w:rPr>
                            <w:rFonts w:ascii="Arial" w:hAnsi="Arial" w:cs="Arial"/>
                            <w:sz w:val="21"/>
                            <w:szCs w:val="21"/>
                          </w:rPr>
                          <w:t>misuse.</w:t>
                        </w:r>
                      </w:p>
                    </w:tc>
                  </w:tr>
                  <w:tr w:rsidR="00CE2248" w:rsidTr="00CE2248">
                    <w:tc>
                      <w:tcPr>
                        <w:tcW w:w="0" w:type="auto"/>
                        <w:tcMar>
                          <w:top w:w="0" w:type="dxa"/>
                          <w:left w:w="225" w:type="dxa"/>
                          <w:bottom w:w="0" w:type="dxa"/>
                          <w:right w:w="225" w:type="dxa"/>
                        </w:tcMar>
                        <w:vAlign w:val="center"/>
                        <w:hideMark/>
                      </w:tcPr>
                      <w:p w:rsidR="00CE2248" w:rsidRDefault="00CE2248">
                        <w:pPr>
                          <w:pStyle w:val="text-build-content"/>
                          <w:spacing w:before="150" w:after="150" w:line="330" w:lineRule="exact"/>
                          <w:rPr>
                            <w:rFonts w:ascii="Verdana" w:hAnsi="Verdana"/>
                            <w:color w:val="000000"/>
                            <w:sz w:val="21"/>
                            <w:szCs w:val="21"/>
                          </w:rPr>
                        </w:pPr>
                        <w:r w:rsidRPr="00CE2248">
                          <w:rPr>
                            <w:rFonts w:ascii="Arial" w:hAnsi="Arial" w:cs="Arial"/>
                            <w:sz w:val="21"/>
                            <w:szCs w:val="21"/>
                          </w:rPr>
                          <w:t>(Source:</w:t>
                        </w:r>
                        <w:r w:rsidR="000F5D69">
                          <w:rPr>
                            <w:rFonts w:ascii="Arial" w:hAnsi="Arial" w:cs="Arial"/>
                            <w:sz w:val="21"/>
                            <w:szCs w:val="21"/>
                          </w:rPr>
                          <w:t xml:space="preserve"> </w:t>
                        </w:r>
                        <w:hyperlink r:id="rId21" w:history="1">
                          <w:r w:rsidR="000F5D69" w:rsidRPr="001446C7">
                            <w:rPr>
                              <w:rStyle w:val="af"/>
                              <w:rFonts w:ascii="Arial" w:hAnsi="Arial" w:cs="Arial"/>
                              <w:color w:val="FF0000"/>
                              <w:sz w:val="21"/>
                              <w:szCs w:val="21"/>
                            </w:rPr>
                            <w:t>https://apps.sfc.hk/edistributionWeb/gateway/EN/news-and-announcements/news/enforcement-news/doc?refNo=25PR7</w:t>
                          </w:r>
                        </w:hyperlink>
                        <w:r w:rsidRPr="00CE2248">
                          <w:rPr>
                            <w:rFonts w:ascii="Arial" w:hAnsi="Arial" w:cs="Arial"/>
                            <w:sz w:val="21"/>
                            <w:szCs w:val="21"/>
                          </w:rPr>
                          <w:t>)</w:t>
                        </w:r>
                      </w:p>
                    </w:tc>
                  </w:tr>
                </w:tbl>
                <w:p w:rsidR="00CE2248" w:rsidRDefault="00CE2248" w:rsidP="00CE2248">
                  <w:pPr>
                    <w:pStyle w:val="2"/>
                    <w:spacing w:before="150" w:after="150"/>
                    <w:jc w:val="center"/>
                    <w:rPr>
                      <w:rFonts w:ascii="Verdana" w:eastAsia="Times New Roman" w:hAnsi="Verdana"/>
                      <w:b w:val="0"/>
                      <w:bCs w:val="0"/>
                      <w:color w:val="000000"/>
                      <w:sz w:val="36"/>
                    </w:rPr>
                  </w:pPr>
                  <w:r>
                    <w:rPr>
                      <w:rFonts w:ascii="Arial" w:eastAsia="Times New Roman" w:hAnsi="Arial" w:cs="Arial"/>
                      <w:color w:val="E61D24"/>
                      <w:sz w:val="30"/>
                      <w:szCs w:val="30"/>
                    </w:rPr>
                    <w:t>Hong Kong and Macao Launch Bond Market Linkage in Greater Bay Area Initiative</w:t>
                  </w:r>
                </w:p>
                <w:tbl>
                  <w:tblPr>
                    <w:tblW w:w="5000" w:type="pct"/>
                    <w:tblCellMar>
                      <w:left w:w="0" w:type="dxa"/>
                      <w:right w:w="0" w:type="dxa"/>
                    </w:tblCellMar>
                    <w:tblLook w:val="04A0" w:firstRow="1" w:lastRow="0" w:firstColumn="1" w:lastColumn="0" w:noHBand="0" w:noVBand="1"/>
                  </w:tblPr>
                  <w:tblGrid>
                    <w:gridCol w:w="9278"/>
                  </w:tblGrid>
                  <w:tr w:rsidR="00CE2248" w:rsidTr="00CE2248">
                    <w:tc>
                      <w:tcPr>
                        <w:tcW w:w="0" w:type="auto"/>
                        <w:tcMar>
                          <w:top w:w="0" w:type="dxa"/>
                          <w:left w:w="225" w:type="dxa"/>
                          <w:bottom w:w="0" w:type="dxa"/>
                          <w:right w:w="225" w:type="dxa"/>
                        </w:tcMar>
                        <w:vAlign w:val="center"/>
                        <w:hideMark/>
                      </w:tcPr>
                      <w:p w:rsidR="00CE2248" w:rsidRPr="00CE2248" w:rsidRDefault="00CE2248" w:rsidP="00CE2248">
                        <w:pPr>
                          <w:pStyle w:val="text-build-content"/>
                          <w:spacing w:before="150" w:after="150" w:line="330" w:lineRule="exact"/>
                          <w:jc w:val="both"/>
                          <w:rPr>
                            <w:rFonts w:ascii="Verdana" w:hAnsi="Verdana"/>
                            <w:sz w:val="21"/>
                            <w:szCs w:val="21"/>
                          </w:rPr>
                        </w:pPr>
                        <w:r w:rsidRPr="00CE2248">
                          <w:rPr>
                            <w:rFonts w:ascii="Arial" w:hAnsi="Arial" w:cs="Arial"/>
                            <w:sz w:val="21"/>
                            <w:szCs w:val="21"/>
                          </w:rPr>
                          <w:t>On 21 January 2025, the Hong Kong Monetary Authority (</w:t>
                        </w:r>
                        <w:r w:rsidRPr="00BC4769">
                          <w:rPr>
                            <w:rFonts w:ascii="Arial" w:hAnsi="Arial" w:cs="Arial"/>
                            <w:b/>
                            <w:sz w:val="21"/>
                            <w:szCs w:val="21"/>
                          </w:rPr>
                          <w:t>HKMA</w:t>
                        </w:r>
                        <w:r w:rsidRPr="00CE2248">
                          <w:rPr>
                            <w:rFonts w:ascii="Arial" w:hAnsi="Arial" w:cs="Arial"/>
                            <w:sz w:val="21"/>
                            <w:szCs w:val="21"/>
                          </w:rPr>
                          <w:t>) and the Monetary Authority of Macao (</w:t>
                        </w:r>
                        <w:r w:rsidRPr="00BC4769">
                          <w:rPr>
                            <w:rFonts w:ascii="Arial" w:hAnsi="Arial" w:cs="Arial"/>
                            <w:b/>
                            <w:sz w:val="21"/>
                            <w:szCs w:val="21"/>
                          </w:rPr>
                          <w:t>AMCM</w:t>
                        </w:r>
                        <w:r w:rsidRPr="00CE2248">
                          <w:rPr>
                            <w:rFonts w:ascii="Arial" w:hAnsi="Arial" w:cs="Arial"/>
                            <w:sz w:val="21"/>
                            <w:szCs w:val="21"/>
                          </w:rPr>
                          <w:t xml:space="preserve">) announced the official launch of a direct linkage between Hong Kong’s Central </w:t>
                        </w:r>
                        <w:proofErr w:type="spellStart"/>
                        <w:r w:rsidRPr="00CE2248">
                          <w:rPr>
                            <w:rFonts w:ascii="Arial" w:hAnsi="Arial" w:cs="Arial"/>
                            <w:sz w:val="21"/>
                            <w:szCs w:val="21"/>
                          </w:rPr>
                          <w:t>Moneymarkets</w:t>
                        </w:r>
                        <w:proofErr w:type="spellEnd"/>
                        <w:r w:rsidRPr="00CE2248">
                          <w:rPr>
                            <w:rFonts w:ascii="Arial" w:hAnsi="Arial" w:cs="Arial"/>
                            <w:sz w:val="21"/>
                            <w:szCs w:val="21"/>
                          </w:rPr>
                          <w:t xml:space="preserve"> Unit (</w:t>
                        </w:r>
                        <w:r w:rsidRPr="00BC4769">
                          <w:rPr>
                            <w:rFonts w:ascii="Arial" w:hAnsi="Arial" w:cs="Arial"/>
                            <w:b/>
                            <w:sz w:val="21"/>
                            <w:szCs w:val="21"/>
                          </w:rPr>
                          <w:t>CMU</w:t>
                        </w:r>
                        <w:r w:rsidRPr="00CE2248">
                          <w:rPr>
                            <w:rFonts w:ascii="Arial" w:hAnsi="Arial" w:cs="Arial"/>
                            <w:sz w:val="21"/>
                            <w:szCs w:val="21"/>
                          </w:rPr>
                          <w:t>) and Macao’s Central Securities Depository System (</w:t>
                        </w:r>
                        <w:r w:rsidRPr="00BC4769">
                          <w:rPr>
                            <w:rFonts w:ascii="Arial" w:hAnsi="Arial" w:cs="Arial"/>
                            <w:b/>
                            <w:sz w:val="21"/>
                            <w:szCs w:val="21"/>
                          </w:rPr>
                          <w:t>CSD</w:t>
                        </w:r>
                        <w:r w:rsidRPr="00CE2248">
                          <w:rPr>
                            <w:rFonts w:ascii="Arial" w:hAnsi="Arial" w:cs="Arial"/>
                            <w:sz w:val="21"/>
                            <w:szCs w:val="21"/>
                          </w:rPr>
                          <w:t>). This initiative aims to facilitate seamless cross-border investment and financing between the two regions, marking a significant milestone in financial collaboration within the Guangdong-Hong Kong-Macao Greater Bay Area.</w:t>
                        </w:r>
                      </w:p>
                    </w:tc>
                  </w:tr>
                  <w:tr w:rsidR="00CE2248" w:rsidTr="00CE2248">
                    <w:tc>
                      <w:tcPr>
                        <w:tcW w:w="0" w:type="auto"/>
                        <w:tcMar>
                          <w:top w:w="0" w:type="dxa"/>
                          <w:left w:w="225" w:type="dxa"/>
                          <w:bottom w:w="0" w:type="dxa"/>
                          <w:right w:w="225" w:type="dxa"/>
                        </w:tcMar>
                        <w:vAlign w:val="center"/>
                        <w:hideMark/>
                      </w:tcPr>
                      <w:p w:rsidR="00CE2248" w:rsidRPr="00CE2248" w:rsidRDefault="00CE2248" w:rsidP="00CE2248">
                        <w:pPr>
                          <w:pStyle w:val="text-build-content"/>
                          <w:spacing w:before="150" w:after="150" w:line="330" w:lineRule="exact"/>
                          <w:jc w:val="both"/>
                          <w:rPr>
                            <w:rFonts w:ascii="Verdana" w:hAnsi="Verdana"/>
                            <w:sz w:val="21"/>
                            <w:szCs w:val="21"/>
                          </w:rPr>
                        </w:pPr>
                        <w:r w:rsidRPr="00CE2248">
                          <w:rPr>
                            <w:rFonts w:ascii="Arial" w:hAnsi="Arial" w:cs="Arial"/>
                            <w:sz w:val="21"/>
                            <w:szCs w:val="21"/>
                          </w:rPr>
                          <w:t xml:space="preserve">The direct linkage, developed jointly by the HKMA and the AMCM since their announcement in September 2024, connects the CMU operated by CMU </w:t>
                        </w:r>
                        <w:proofErr w:type="spellStart"/>
                        <w:r w:rsidRPr="00CE2248">
                          <w:rPr>
                            <w:rFonts w:ascii="Arial" w:hAnsi="Arial" w:cs="Arial"/>
                            <w:sz w:val="21"/>
                            <w:szCs w:val="21"/>
                          </w:rPr>
                          <w:t>OmniClear</w:t>
                        </w:r>
                        <w:proofErr w:type="spellEnd"/>
                        <w:r w:rsidRPr="00CE2248">
                          <w:rPr>
                            <w:rFonts w:ascii="Arial" w:hAnsi="Arial" w:cs="Arial"/>
                            <w:sz w:val="21"/>
                            <w:szCs w:val="21"/>
                          </w:rPr>
                          <w:t xml:space="preserve"> Limited (a subsidiary of the HKMA) with Macao’s CSD operated by Macao Central Securities Depository and Clearing Limited (a subsidiary of the AMCM). This infrastructure is designed to streamline access for investors in both regions, allowing them to participate in each other’s bond markets more efficiently. The linkage provides a cross-border channel that simplifies trading, settlement, and custody of bond investments while leveraging the unique strengths of both regions.</w:t>
                        </w:r>
                      </w:p>
                    </w:tc>
                  </w:tr>
                  <w:tr w:rsidR="00CE2248" w:rsidTr="00CE2248">
                    <w:tc>
                      <w:tcPr>
                        <w:tcW w:w="0" w:type="auto"/>
                        <w:tcMar>
                          <w:top w:w="0" w:type="dxa"/>
                          <w:left w:w="225" w:type="dxa"/>
                          <w:bottom w:w="0" w:type="dxa"/>
                          <w:right w:w="225" w:type="dxa"/>
                        </w:tcMar>
                        <w:vAlign w:val="center"/>
                        <w:hideMark/>
                      </w:tcPr>
                      <w:p w:rsidR="00CE2248" w:rsidRPr="00CE2248" w:rsidRDefault="00CE2248">
                        <w:pPr>
                          <w:pStyle w:val="text-build-content"/>
                          <w:spacing w:before="150" w:after="150" w:line="330" w:lineRule="exact"/>
                          <w:jc w:val="both"/>
                          <w:rPr>
                            <w:rFonts w:ascii="Verdana" w:hAnsi="Verdana"/>
                            <w:sz w:val="21"/>
                            <w:szCs w:val="21"/>
                          </w:rPr>
                        </w:pPr>
                        <w:proofErr w:type="spellStart"/>
                        <w:r w:rsidRPr="00CE2248">
                          <w:rPr>
                            <w:rFonts w:ascii="Arial" w:hAnsi="Arial" w:cs="Arial"/>
                            <w:sz w:val="21"/>
                            <w:szCs w:val="21"/>
                          </w:rPr>
                          <w:t>Mr</w:t>
                        </w:r>
                        <w:proofErr w:type="spellEnd"/>
                        <w:r w:rsidRPr="00CE2248">
                          <w:rPr>
                            <w:rFonts w:ascii="Arial" w:hAnsi="Arial" w:cs="Arial"/>
                            <w:sz w:val="21"/>
                            <w:szCs w:val="21"/>
                          </w:rPr>
                          <w:t xml:space="preserve"> Eddie Yue, Chief Executive of the HKMA, discussed the significance of the initiative for Hong Kong’s financial ambitions stating: “To enhance the competitiveness of Hong Kong as an </w:t>
                        </w:r>
                        <w:r w:rsidRPr="00CE2248">
                          <w:rPr>
                            <w:rFonts w:ascii="Arial" w:hAnsi="Arial" w:cs="Arial"/>
                            <w:sz w:val="21"/>
                            <w:szCs w:val="21"/>
                          </w:rPr>
                          <w:lastRenderedPageBreak/>
                          <w:t xml:space="preserve">international financial </w:t>
                        </w:r>
                        <w:proofErr w:type="spellStart"/>
                        <w:r w:rsidRPr="00CE2248">
                          <w:rPr>
                            <w:rFonts w:ascii="Arial" w:hAnsi="Arial" w:cs="Arial"/>
                            <w:sz w:val="21"/>
                            <w:szCs w:val="21"/>
                          </w:rPr>
                          <w:t>centre</w:t>
                        </w:r>
                        <w:proofErr w:type="spellEnd"/>
                        <w:r w:rsidRPr="00CE2248">
                          <w:rPr>
                            <w:rFonts w:ascii="Arial" w:hAnsi="Arial" w:cs="Arial"/>
                            <w:sz w:val="21"/>
                            <w:szCs w:val="21"/>
                          </w:rPr>
                          <w:t xml:space="preserve">, the HKMA has established connectivity with various </w:t>
                        </w:r>
                        <w:proofErr w:type="spellStart"/>
                        <w:r w:rsidRPr="00CE2248">
                          <w:rPr>
                            <w:rFonts w:ascii="Arial" w:hAnsi="Arial" w:cs="Arial"/>
                            <w:sz w:val="21"/>
                            <w:szCs w:val="21"/>
                          </w:rPr>
                          <w:t>neighbouring</w:t>
                        </w:r>
                        <w:proofErr w:type="spellEnd"/>
                        <w:r w:rsidRPr="00CE2248">
                          <w:rPr>
                            <w:rFonts w:ascii="Arial" w:hAnsi="Arial" w:cs="Arial"/>
                            <w:sz w:val="21"/>
                            <w:szCs w:val="21"/>
                          </w:rPr>
                          <w:t xml:space="preserve"> financial markets over the years, and continues to explore direct linkages with other central securities depositories. The direct linkage showcases Hong Kong’s role as a “super-connector” and represents a major step towards developing the CMU into an international CSD in Asia.” Meanwhile, </w:t>
                        </w:r>
                        <w:proofErr w:type="spellStart"/>
                        <w:r w:rsidRPr="00CE2248">
                          <w:rPr>
                            <w:rFonts w:ascii="Arial" w:hAnsi="Arial" w:cs="Arial"/>
                            <w:sz w:val="21"/>
                            <w:szCs w:val="21"/>
                          </w:rPr>
                          <w:t>Mr</w:t>
                        </w:r>
                        <w:proofErr w:type="spellEnd"/>
                        <w:r w:rsidRPr="00CE2248">
                          <w:rPr>
                            <w:rFonts w:ascii="Arial" w:hAnsi="Arial" w:cs="Arial"/>
                            <w:sz w:val="21"/>
                            <w:szCs w:val="21"/>
                          </w:rPr>
                          <w:t xml:space="preserve"> Benjamin Chan, Chairman of the AMCM, stated: “The official launch of the direct linkage between the bond markets of Macao and Hong Kong achieved the first connectivity of Macao’s bond market infrastructure established with a CSD located outside of Macao. This will provide international investors, including those from Portuguese-speaking countries, with a convenient channel to participate in the bond markets of Macao and Hong Kong, further strengthening Macao’s function as the financial services platform serving China and Portuguese speaking countries. The AMCM will continue to establish connectivity with the bond markets in Mainland and international markets, to gradually expand new financial services and to support the development of appropriate economic diversification for Macao.” </w:t>
                        </w:r>
                      </w:p>
                    </w:tc>
                  </w:tr>
                  <w:tr w:rsidR="00CE2248" w:rsidTr="00CE2248">
                    <w:tc>
                      <w:tcPr>
                        <w:tcW w:w="0" w:type="auto"/>
                        <w:tcMar>
                          <w:top w:w="0" w:type="dxa"/>
                          <w:left w:w="225" w:type="dxa"/>
                          <w:bottom w:w="0" w:type="dxa"/>
                          <w:right w:w="225" w:type="dxa"/>
                        </w:tcMar>
                        <w:vAlign w:val="center"/>
                        <w:hideMark/>
                      </w:tcPr>
                      <w:p w:rsidR="00CE2248" w:rsidRDefault="00CE2248" w:rsidP="00CE2248">
                        <w:pPr>
                          <w:pStyle w:val="text-build-content"/>
                          <w:spacing w:before="150" w:after="150" w:line="330" w:lineRule="exact"/>
                          <w:rPr>
                            <w:rFonts w:ascii="Verdana" w:hAnsi="Verdana"/>
                            <w:color w:val="000000"/>
                            <w:sz w:val="21"/>
                            <w:szCs w:val="21"/>
                          </w:rPr>
                        </w:pPr>
                        <w:r w:rsidRPr="00CE2248">
                          <w:rPr>
                            <w:rFonts w:ascii="Arial" w:hAnsi="Arial" w:cs="Arial"/>
                            <w:sz w:val="21"/>
                            <w:szCs w:val="21"/>
                          </w:rPr>
                          <w:lastRenderedPageBreak/>
                          <w:t xml:space="preserve">(Source: </w:t>
                        </w:r>
                        <w:hyperlink r:id="rId22" w:tgtFrame="_blank" w:history="1">
                          <w:r>
                            <w:rPr>
                              <w:rStyle w:val="af"/>
                              <w:rFonts w:ascii="Arial" w:hAnsi="Arial" w:cs="Arial"/>
                              <w:color w:val="E61D24"/>
                              <w:sz w:val="21"/>
                              <w:szCs w:val="21"/>
                            </w:rPr>
                            <w:t>https://www.hkma.gov.hk/eng/news-and-media/press-releases/2025/01/20250121-3/</w:t>
                          </w:r>
                        </w:hyperlink>
                        <w:r w:rsidRPr="00CE2248">
                          <w:rPr>
                            <w:rFonts w:ascii="Arial" w:hAnsi="Arial" w:cs="Arial"/>
                            <w:sz w:val="21"/>
                            <w:szCs w:val="21"/>
                          </w:rPr>
                          <w:t>)</w:t>
                        </w:r>
                      </w:p>
                    </w:tc>
                  </w:tr>
                  <w:tr w:rsidR="00CE2248" w:rsidTr="00CE2248">
                    <w:tc>
                      <w:tcPr>
                        <w:tcW w:w="0" w:type="auto"/>
                        <w:tcMar>
                          <w:top w:w="150" w:type="dxa"/>
                          <w:left w:w="375" w:type="dxa"/>
                          <w:bottom w:w="150" w:type="dxa"/>
                          <w:right w:w="375" w:type="dxa"/>
                        </w:tcMar>
                        <w:vAlign w:val="center"/>
                        <w:hideMark/>
                      </w:tcPr>
                      <w:tbl>
                        <w:tblPr>
                          <w:tblW w:w="8250" w:type="dxa"/>
                          <w:jc w:val="center"/>
                          <w:tblBorders>
                            <w:top w:val="single" w:sz="12" w:space="0" w:color="E6E6E6"/>
                          </w:tblBorders>
                          <w:tblCellMar>
                            <w:left w:w="0" w:type="dxa"/>
                            <w:right w:w="0" w:type="dxa"/>
                          </w:tblCellMar>
                          <w:tblLook w:val="04A0" w:firstRow="1" w:lastRow="0" w:firstColumn="1" w:lastColumn="0" w:noHBand="0" w:noVBand="1"/>
                        </w:tblPr>
                        <w:tblGrid>
                          <w:gridCol w:w="8250"/>
                        </w:tblGrid>
                        <w:tr w:rsidR="00CE2248">
                          <w:trPr>
                            <w:jc w:val="center"/>
                          </w:trPr>
                          <w:tc>
                            <w:tcPr>
                              <w:tcW w:w="0" w:type="auto"/>
                              <w:tcBorders>
                                <w:top w:val="single" w:sz="12" w:space="0" w:color="E6E6E6"/>
                                <w:left w:val="nil"/>
                                <w:bottom w:val="nil"/>
                                <w:right w:val="nil"/>
                              </w:tcBorders>
                              <w:vAlign w:val="center"/>
                              <w:hideMark/>
                            </w:tcPr>
                            <w:p w:rsidR="00CE2248" w:rsidRDefault="00CE2248" w:rsidP="00CE2248">
                              <w:pPr>
                                <w:spacing w:line="0" w:lineRule="auto"/>
                                <w:rPr>
                                  <w:rFonts w:ascii="Times New Roman" w:eastAsia="Times New Roman" w:hAnsi="Times New Roman"/>
                                  <w:color w:val="auto"/>
                                  <w:sz w:val="2"/>
                                  <w:szCs w:val="2"/>
                                </w:rPr>
                              </w:pPr>
                              <w:r>
                                <w:rPr>
                                  <w:rFonts w:eastAsia="Times New Roman"/>
                                  <w:sz w:val="2"/>
                                  <w:szCs w:val="2"/>
                                </w:rPr>
                                <w:t xml:space="preserve">  </w:t>
                              </w:r>
                            </w:p>
                          </w:tc>
                        </w:tr>
                      </w:tbl>
                      <w:p w:rsidR="00CE2248" w:rsidRDefault="00CE2248" w:rsidP="00CE2248">
                        <w:pPr>
                          <w:jc w:val="center"/>
                          <w:rPr>
                            <w:rFonts w:eastAsia="Times New Roman"/>
                            <w:sz w:val="20"/>
                            <w:szCs w:val="20"/>
                          </w:rPr>
                        </w:pPr>
                      </w:p>
                    </w:tc>
                  </w:tr>
                </w:tbl>
                <w:p w:rsidR="004214D8" w:rsidRPr="008036ED" w:rsidRDefault="004214D8" w:rsidP="004214D8">
                  <w:pPr>
                    <w:spacing w:after="0" w:line="260" w:lineRule="exact"/>
                    <w:contextualSpacing/>
                    <w:jc w:val="both"/>
                    <w:rPr>
                      <w:rFonts w:ascii="Arial" w:hAnsi="Arial" w:cs="Arial"/>
                      <w:color w:val="000000" w:themeColor="text1"/>
                      <w:sz w:val="20"/>
                      <w:szCs w:val="20"/>
                      <w:lang w:val="en-GB" w:eastAsia="zh-TW"/>
                    </w:rPr>
                  </w:pPr>
                </w:p>
                <w:p w:rsidR="004214D8" w:rsidRDefault="004214D8" w:rsidP="004214D8">
                  <w:pPr>
                    <w:jc w:val="both"/>
                  </w:pPr>
                </w:p>
                <w:p w:rsidR="004214D8" w:rsidRPr="004214D8" w:rsidRDefault="004214D8" w:rsidP="004214D8">
                  <w:pPr>
                    <w:pStyle w:val="DisclaimerBold"/>
                    <w:rPr>
                      <w:rFonts w:asciiTheme="majorHAnsi" w:hAnsiTheme="majorHAnsi" w:cstheme="majorHAnsi"/>
                    </w:rPr>
                  </w:pPr>
                  <w:r w:rsidRPr="004214D8">
                    <w:rPr>
                      <w:rFonts w:asciiTheme="majorHAnsi" w:hAnsiTheme="majorHAnsi" w:cstheme="majorHAnsi"/>
                    </w:rPr>
                    <w:t>This newsletter is for information purposes only.</w:t>
                  </w:r>
                </w:p>
                <w:p w:rsidR="004214D8" w:rsidRPr="004214D8" w:rsidRDefault="004214D8" w:rsidP="004214D8">
                  <w:pPr>
                    <w:pStyle w:val="Disclaimer"/>
                    <w:rPr>
                      <w:rFonts w:asciiTheme="majorHAnsi" w:hAnsiTheme="majorHAnsi" w:cstheme="majorHAnsi"/>
                    </w:rPr>
                  </w:pPr>
                  <w:r w:rsidRPr="004214D8">
                    <w:rPr>
                      <w:rFonts w:asciiTheme="majorHAnsi" w:hAnsiTheme="majorHAnsi" w:cstheme="majorHAnsi"/>
                    </w:rPr>
                    <w:t xml:space="preserve">Its contents do not constitute legal advice and it </w:t>
                  </w:r>
                  <w:proofErr w:type="gramStart"/>
                  <w:r w:rsidRPr="004214D8">
                    <w:rPr>
                      <w:rFonts w:asciiTheme="majorHAnsi" w:hAnsiTheme="majorHAnsi" w:cstheme="majorHAnsi"/>
                    </w:rPr>
                    <w:t>should  not</w:t>
                  </w:r>
                  <w:proofErr w:type="gramEnd"/>
                  <w:r w:rsidRPr="004214D8">
                    <w:rPr>
                      <w:rFonts w:asciiTheme="majorHAnsi" w:hAnsiTheme="majorHAnsi" w:cstheme="majorHAnsi"/>
                    </w:rPr>
                    <w:t xml:space="preserve"> be regarded as a substitute for detailed advice  in individual cases.</w:t>
                  </w:r>
                </w:p>
                <w:p w:rsidR="004214D8" w:rsidRPr="004214D8" w:rsidRDefault="004214D8" w:rsidP="004214D8">
                  <w:pPr>
                    <w:pStyle w:val="Disclaimer"/>
                    <w:rPr>
                      <w:rFonts w:asciiTheme="majorHAnsi" w:hAnsiTheme="majorHAnsi" w:cstheme="majorHAnsi"/>
                    </w:rPr>
                  </w:pPr>
                  <w:r w:rsidRPr="004214D8">
                    <w:rPr>
                      <w:rFonts w:asciiTheme="majorHAnsi" w:hAnsiTheme="majorHAnsi" w:cstheme="majorHAnsi"/>
                    </w:rPr>
                    <w:t xml:space="preserve">Transmission of this information is not intended to create and receipt does not constitute a lawyer-client relationship between </w:t>
                  </w:r>
                  <w:proofErr w:type="spellStart"/>
                  <w:r w:rsidRPr="004214D8">
                    <w:rPr>
                      <w:rFonts w:asciiTheme="majorHAnsi" w:hAnsiTheme="majorHAnsi" w:cstheme="majorHAnsi"/>
                    </w:rPr>
                    <w:t>Charltons</w:t>
                  </w:r>
                  <w:proofErr w:type="spellEnd"/>
                  <w:r w:rsidRPr="004214D8">
                    <w:rPr>
                      <w:rFonts w:asciiTheme="majorHAnsi" w:hAnsiTheme="majorHAnsi" w:cstheme="majorHAnsi"/>
                    </w:rPr>
                    <w:t xml:space="preserve"> and the user or browser.</w:t>
                  </w:r>
                </w:p>
                <w:p w:rsidR="004214D8" w:rsidRPr="004214D8" w:rsidRDefault="004214D8" w:rsidP="004214D8">
                  <w:pPr>
                    <w:pStyle w:val="Disclaimer"/>
                    <w:rPr>
                      <w:rFonts w:asciiTheme="majorHAnsi" w:hAnsiTheme="majorHAnsi" w:cstheme="majorHAnsi"/>
                    </w:rPr>
                  </w:pPr>
                  <w:proofErr w:type="spellStart"/>
                  <w:r w:rsidRPr="004214D8">
                    <w:rPr>
                      <w:rFonts w:asciiTheme="majorHAnsi" w:hAnsiTheme="majorHAnsi" w:cstheme="majorHAnsi"/>
                    </w:rPr>
                    <w:t>Charltons</w:t>
                  </w:r>
                  <w:proofErr w:type="spellEnd"/>
                  <w:r w:rsidRPr="004214D8">
                    <w:rPr>
                      <w:rFonts w:asciiTheme="majorHAnsi" w:hAnsiTheme="majorHAnsi" w:cstheme="majorHAnsi"/>
                    </w:rPr>
                    <w:t xml:space="preserve"> is not responsible for any third party content which can be accessed through the website.</w:t>
                  </w:r>
                </w:p>
                <w:p w:rsidR="004214D8" w:rsidRPr="004214D8" w:rsidRDefault="004214D8" w:rsidP="004214D8">
                  <w:pPr>
                    <w:pStyle w:val="Disclaimer"/>
                    <w:rPr>
                      <w:rFonts w:asciiTheme="majorHAnsi" w:hAnsiTheme="majorHAnsi" w:cstheme="majorHAnsi"/>
                    </w:rPr>
                  </w:pPr>
                  <w:r w:rsidRPr="004214D8">
                    <w:rPr>
                      <w:rFonts w:asciiTheme="majorHAnsi" w:hAnsiTheme="majorHAnsi" w:cstheme="majorHAnsi"/>
                    </w:rPr>
                    <w:t xml:space="preserve">If you do not wish to receive this newsletter please let us know by emailing us at  </w:t>
                  </w:r>
                  <w:hyperlink r:id="rId23">
                    <w:r w:rsidRPr="004214D8">
                      <w:rPr>
                        <w:rFonts w:asciiTheme="majorHAnsi" w:hAnsiTheme="majorHAnsi" w:cstheme="majorHAnsi"/>
                      </w:rPr>
                      <w:t>unsubscribe@charltonslaw.com</w:t>
                    </w:r>
                  </w:hyperlink>
                </w:p>
                <w:p w:rsidR="004214D8" w:rsidRPr="005823C2" w:rsidRDefault="004214D8" w:rsidP="004214D8">
                  <w:pPr>
                    <w:pStyle w:val="BlackStrips"/>
                    <w:rPr>
                      <w:rFonts w:ascii="Arial" w:hAnsi="Arial" w:cs="Arial"/>
                    </w:rPr>
                  </w:pPr>
                  <w:proofErr w:type="spellStart"/>
                  <w:r w:rsidRPr="005823C2">
                    <w:rPr>
                      <w:rFonts w:ascii="Arial" w:hAnsi="Arial" w:cs="Arial"/>
                    </w:rPr>
                    <w:t>Charltons</w:t>
                  </w:r>
                  <w:proofErr w:type="spellEnd"/>
                  <w:r w:rsidRPr="005823C2">
                    <w:rPr>
                      <w:rFonts w:ascii="Arial" w:hAnsi="Arial" w:cs="Arial"/>
                    </w:rPr>
                    <w:t xml:space="preserve"> - Hong Kong Law - </w:t>
                  </w:r>
                  <w:r>
                    <w:rPr>
                      <w:rFonts w:ascii="Arial" w:hAnsi="Arial" w:cs="Arial"/>
                    </w:rPr>
                    <w:t>1</w:t>
                  </w:r>
                  <w:r w:rsidR="003A31BD">
                    <w:rPr>
                      <w:rFonts w:ascii="Arial" w:hAnsi="Arial" w:cs="Arial"/>
                    </w:rPr>
                    <w:t>4</w:t>
                  </w:r>
                  <w:r w:rsidRPr="005823C2">
                    <w:rPr>
                      <w:rFonts w:ascii="Arial" w:hAnsi="Arial" w:cs="Arial"/>
                    </w:rPr>
                    <w:t xml:space="preserve"> February 2025</w:t>
                  </w:r>
                </w:p>
                <w:p w:rsidR="00CE2248" w:rsidRPr="00CE2248" w:rsidRDefault="00CE2248" w:rsidP="00CE2248">
                  <w:pPr>
                    <w:pStyle w:val="2"/>
                    <w:spacing w:before="150" w:after="150"/>
                    <w:jc w:val="both"/>
                    <w:rPr>
                      <w:rFonts w:ascii="Verdana" w:eastAsia="Times New Roman" w:hAnsi="Verdana"/>
                      <w:b w:val="0"/>
                      <w:bCs w:val="0"/>
                      <w:color w:val="000000"/>
                      <w:sz w:val="21"/>
                      <w:szCs w:val="21"/>
                    </w:rPr>
                  </w:pPr>
                </w:p>
                <w:p w:rsidR="00CE2248" w:rsidRPr="00CE2248" w:rsidRDefault="00CE2248" w:rsidP="00CE2248">
                  <w:pPr>
                    <w:pStyle w:val="text-build-content"/>
                    <w:spacing w:line="330" w:lineRule="exact"/>
                    <w:jc w:val="both"/>
                    <w:rPr>
                      <w:rFonts w:ascii="Arial" w:eastAsia="Times New Roman" w:hAnsi="Arial" w:cs="Arial"/>
                      <w:sz w:val="21"/>
                      <w:szCs w:val="21"/>
                    </w:rPr>
                  </w:pPr>
                </w:p>
              </w:tc>
            </w:tr>
          </w:tbl>
          <w:p w:rsidR="00CE2248" w:rsidRPr="00CE2248" w:rsidRDefault="00CE2248" w:rsidP="00CE2248">
            <w:pPr>
              <w:pStyle w:val="text-build-content"/>
              <w:spacing w:line="330" w:lineRule="exact"/>
              <w:jc w:val="both"/>
              <w:rPr>
                <w:rFonts w:ascii="Arial" w:eastAsia="Times New Roman" w:hAnsi="Arial" w:cs="Arial"/>
                <w:sz w:val="21"/>
                <w:szCs w:val="21"/>
              </w:rPr>
            </w:pPr>
          </w:p>
        </w:tc>
      </w:tr>
    </w:tbl>
    <w:p w:rsidR="00FF6BCB" w:rsidRPr="00CE2248" w:rsidRDefault="00FF6BCB" w:rsidP="00CE2248">
      <w:pPr>
        <w:pStyle w:val="text-build-content"/>
        <w:spacing w:line="330" w:lineRule="exact"/>
        <w:jc w:val="both"/>
        <w:rPr>
          <w:rFonts w:ascii="Arial" w:eastAsia="Times New Roman" w:hAnsi="Arial" w:cs="Arial"/>
          <w:sz w:val="21"/>
          <w:szCs w:val="21"/>
        </w:rPr>
      </w:pPr>
    </w:p>
    <w:p w:rsidR="007212E1" w:rsidRPr="00CE2248" w:rsidRDefault="007212E1" w:rsidP="00CE2248">
      <w:pPr>
        <w:pStyle w:val="text-build-content"/>
        <w:spacing w:line="330" w:lineRule="exact"/>
        <w:jc w:val="both"/>
        <w:rPr>
          <w:rFonts w:ascii="Arial" w:eastAsia="Times New Roman" w:hAnsi="Arial" w:cs="Arial"/>
          <w:sz w:val="21"/>
          <w:szCs w:val="21"/>
        </w:rPr>
      </w:pPr>
    </w:p>
    <w:sectPr w:rsidR="007212E1" w:rsidRPr="00CE2248">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71DB" w:rsidRDefault="000171DB">
      <w:pPr>
        <w:spacing w:after="0"/>
      </w:pPr>
      <w:r>
        <w:separator/>
      </w:r>
    </w:p>
  </w:endnote>
  <w:endnote w:type="continuationSeparator" w:id="0">
    <w:p w:rsidR="000171DB" w:rsidRDefault="000171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10006FF" w:usb1="4000FCFF" w:usb2="00000009" w:usb3="00000000" w:csb0="0000019F" w:csb1="00000000"/>
  </w:font>
  <w:font w:name="Liberation Sans">
    <w:altName w:val="Arial"/>
    <w:panose1 w:val="020B0604020202020204"/>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71DB" w:rsidRDefault="000171DB">
      <w:r>
        <w:separator/>
      </w:r>
    </w:p>
  </w:footnote>
  <w:footnote w:type="continuationSeparator" w:id="0">
    <w:p w:rsidR="000171DB" w:rsidRDefault="000171DB">
      <w:r>
        <w:continuationSeparator/>
      </w:r>
    </w:p>
  </w:footnote>
  <w:footnote w:id="1">
    <w:p w:rsidR="00E81E04" w:rsidRPr="00BC4769" w:rsidRDefault="00E81E04">
      <w:pPr>
        <w:pStyle w:val="ac"/>
        <w:rPr>
          <w:sz w:val="20"/>
          <w:szCs w:val="20"/>
        </w:rPr>
      </w:pPr>
      <w:r>
        <w:rPr>
          <w:rStyle w:val="af1"/>
        </w:rPr>
        <w:footnoteRef/>
      </w:r>
      <w:r>
        <w:t xml:space="preserve"> </w:t>
      </w:r>
      <w:r w:rsidR="007A0896">
        <w:rPr>
          <w:sz w:val="20"/>
          <w:szCs w:val="20"/>
        </w:rPr>
        <w:t>Restricted jurisdictions are sanctioned jurisdictions and jurisdictions which have banned virtual asset trading</w:t>
      </w:r>
    </w:p>
  </w:footnote>
  <w:footnote w:id="2">
    <w:p w:rsidR="00AD2DE0" w:rsidRPr="00AD2DE0" w:rsidRDefault="00AD2DE0" w:rsidP="00AD2DE0">
      <w:pPr>
        <w:pStyle w:val="ac"/>
        <w:rPr>
          <w:sz w:val="20"/>
          <w:szCs w:val="20"/>
        </w:rPr>
      </w:pPr>
      <w:r w:rsidRPr="00AD2DE0">
        <w:rPr>
          <w:rStyle w:val="af1"/>
        </w:rPr>
        <w:footnoteRef/>
      </w:r>
      <w:r w:rsidRPr="00AD2DE0">
        <w:rPr>
          <w:sz w:val="20"/>
          <w:szCs w:val="20"/>
        </w:rPr>
        <w:t xml:space="preserve"> SFC Code of Conduct for Persons Licensed by or Registered with the Securities and Futures Commission</w:t>
      </w:r>
    </w:p>
  </w:footnote>
  <w:footnote w:id="3">
    <w:p w:rsidR="00AD2DE0" w:rsidRDefault="00AD2DE0" w:rsidP="00AD2DE0">
      <w:pPr>
        <w:pStyle w:val="ac"/>
      </w:pPr>
      <w:r w:rsidRPr="00AD2DE0">
        <w:rPr>
          <w:rStyle w:val="af1"/>
        </w:rPr>
        <w:footnoteRef/>
      </w:r>
      <w:r w:rsidRPr="00AD2DE0">
        <w:rPr>
          <w:sz w:val="20"/>
          <w:szCs w:val="20"/>
        </w:rPr>
        <w:t xml:space="preserve"> SFC Management, Supervision and Internal Control Guidelines for Persons Licensed by or Registered with the Securities and Futures Commission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47B2C85C"/>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1" w15:restartNumberingAfterBreak="0">
    <w:nsid w:val="170CD2DE"/>
    <w:multiLevelType w:val="multilevel"/>
    <w:tmpl w:val="05980C3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E772BE8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61025388">
    <w:abstractNumId w:val="1"/>
  </w:num>
  <w:num w:numId="2" w16cid:durableId="155849317">
    <w:abstractNumId w:val="1"/>
  </w:num>
  <w:num w:numId="3" w16cid:durableId="11507124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11C8B"/>
    <w:rsid w:val="000171DB"/>
    <w:rsid w:val="000478FA"/>
    <w:rsid w:val="0006066D"/>
    <w:rsid w:val="000D229D"/>
    <w:rsid w:val="000E1E08"/>
    <w:rsid w:val="000F5D69"/>
    <w:rsid w:val="00127E9F"/>
    <w:rsid w:val="001446C7"/>
    <w:rsid w:val="001538BC"/>
    <w:rsid w:val="00192383"/>
    <w:rsid w:val="00204EA2"/>
    <w:rsid w:val="00256BB8"/>
    <w:rsid w:val="0026104B"/>
    <w:rsid w:val="0027449B"/>
    <w:rsid w:val="0030648D"/>
    <w:rsid w:val="003308AA"/>
    <w:rsid w:val="00331F87"/>
    <w:rsid w:val="003540D1"/>
    <w:rsid w:val="003A31BD"/>
    <w:rsid w:val="003F31C9"/>
    <w:rsid w:val="004214D8"/>
    <w:rsid w:val="00454B41"/>
    <w:rsid w:val="004716FC"/>
    <w:rsid w:val="004D627D"/>
    <w:rsid w:val="004E29B3"/>
    <w:rsid w:val="00513C81"/>
    <w:rsid w:val="00590D07"/>
    <w:rsid w:val="005B1D82"/>
    <w:rsid w:val="00603D61"/>
    <w:rsid w:val="00663C33"/>
    <w:rsid w:val="00713324"/>
    <w:rsid w:val="007212E1"/>
    <w:rsid w:val="00736A08"/>
    <w:rsid w:val="0076220E"/>
    <w:rsid w:val="00770F1D"/>
    <w:rsid w:val="00784D58"/>
    <w:rsid w:val="007A0896"/>
    <w:rsid w:val="007A481E"/>
    <w:rsid w:val="007D109E"/>
    <w:rsid w:val="007F7EAC"/>
    <w:rsid w:val="008542B4"/>
    <w:rsid w:val="008C1A16"/>
    <w:rsid w:val="008D6863"/>
    <w:rsid w:val="00997409"/>
    <w:rsid w:val="009D4C61"/>
    <w:rsid w:val="009F3A7A"/>
    <w:rsid w:val="00A40B58"/>
    <w:rsid w:val="00A63D8A"/>
    <w:rsid w:val="00AD2DE0"/>
    <w:rsid w:val="00B300DA"/>
    <w:rsid w:val="00B628AA"/>
    <w:rsid w:val="00B66A8A"/>
    <w:rsid w:val="00B86B75"/>
    <w:rsid w:val="00BC045C"/>
    <w:rsid w:val="00BC4769"/>
    <w:rsid w:val="00BC48D5"/>
    <w:rsid w:val="00C22CFF"/>
    <w:rsid w:val="00C36279"/>
    <w:rsid w:val="00C66738"/>
    <w:rsid w:val="00CE2248"/>
    <w:rsid w:val="00D479C5"/>
    <w:rsid w:val="00D67592"/>
    <w:rsid w:val="00D84F1E"/>
    <w:rsid w:val="00E07578"/>
    <w:rsid w:val="00E315A3"/>
    <w:rsid w:val="00E81E04"/>
    <w:rsid w:val="00E854D2"/>
    <w:rsid w:val="00F72FB7"/>
    <w:rsid w:val="00FA394B"/>
    <w:rsid w:val="00FA4059"/>
    <w:rsid w:val="00FD62B3"/>
    <w:rsid w:val="00FE590D"/>
    <w:rsid w:val="00FF6BCB"/>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FA8E6"/>
  <w15:docId w15:val="{D7B7A0F3-9593-4BFB-929D-025034F3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200"/>
    </w:pPr>
    <w:rPr>
      <w:color w:val="00000A"/>
      <w:sz w:val="24"/>
    </w:rPr>
  </w:style>
  <w:style w:type="paragraph" w:styleId="1">
    <w:name w:val="heading 1"/>
    <w:basedOn w:val="a"/>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2">
    <w:name w:val="heading 2"/>
    <w:basedOn w:val="a"/>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3">
    <w:name w:val="heading 3"/>
    <w:basedOn w:val="a"/>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4">
    <w:name w:val="heading 4"/>
    <w:basedOn w:val="a"/>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5">
    <w:name w:val="heading 5"/>
    <w:basedOn w:val="a"/>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6">
    <w:name w:val="heading 6"/>
    <w:basedOn w:val="a"/>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объекта Знак"/>
    <w:basedOn w:val="a0"/>
    <w:link w:val="a4"/>
    <w:qFormat/>
  </w:style>
  <w:style w:type="character" w:customStyle="1" w:styleId="VerbatimChar">
    <w:name w:val="Verbatim Char"/>
    <w:basedOn w:val="a3"/>
    <w:link w:val="SourceCode"/>
    <w:qFormat/>
    <w:rPr>
      <w:rFonts w:ascii="Consolas" w:hAnsi="Consolas"/>
      <w:sz w:val="22"/>
    </w:rPr>
  </w:style>
  <w:style w:type="character" w:customStyle="1" w:styleId="FootnoteAnchor">
    <w:name w:val="Footnote Anchor"/>
    <w:basedOn w:val="a3"/>
    <w:rPr>
      <w:vertAlign w:val="superscript"/>
    </w:rPr>
  </w:style>
  <w:style w:type="character" w:customStyle="1" w:styleId="InternetLink">
    <w:name w:val="Internet Link"/>
    <w:basedOn w:val="a3"/>
    <w:rPr>
      <w:color w:val="C0143C"/>
    </w:rPr>
  </w:style>
  <w:style w:type="paragraph" w:customStyle="1" w:styleId="Heading">
    <w:name w:val="Heading"/>
    <w:basedOn w:val="a"/>
    <w:next w:val="a5"/>
    <w:qFormat/>
    <w:pPr>
      <w:keepNext/>
      <w:spacing w:before="240" w:after="120"/>
    </w:pPr>
    <w:rPr>
      <w:rFonts w:ascii="Liberation Sans" w:eastAsia="Microsoft YaHei" w:hAnsi="Liberation Sans" w:cs="Arial Unicode MS"/>
      <w:sz w:val="28"/>
      <w:szCs w:val="28"/>
    </w:rPr>
  </w:style>
  <w:style w:type="paragraph" w:styleId="a5">
    <w:name w:val="Body Text"/>
    <w:basedOn w:val="a"/>
    <w:qFormat/>
    <w:pPr>
      <w:spacing w:before="180" w:after="180"/>
      <w:jc w:val="both"/>
    </w:pPr>
  </w:style>
  <w:style w:type="paragraph" w:styleId="a6">
    <w:name w:val="List"/>
    <w:basedOn w:val="a5"/>
    <w:rPr>
      <w:rFonts w:cs="Arial Unicode MS"/>
    </w:rPr>
  </w:style>
  <w:style w:type="paragraph" w:styleId="a4">
    <w:name w:val="caption"/>
    <w:basedOn w:val="a"/>
    <w:link w:val="a3"/>
    <w:qFormat/>
    <w:pPr>
      <w:spacing w:after="120"/>
    </w:pPr>
    <w:rPr>
      <w:i/>
    </w:rPr>
  </w:style>
  <w:style w:type="paragraph" w:customStyle="1" w:styleId="Index">
    <w:name w:val="Index"/>
    <w:basedOn w:val="a"/>
    <w:qFormat/>
    <w:pPr>
      <w:suppressLineNumbers/>
    </w:pPr>
    <w:rPr>
      <w:rFonts w:cs="Arial Unicode MS"/>
    </w:rPr>
  </w:style>
  <w:style w:type="paragraph" w:customStyle="1" w:styleId="FirstParagraph">
    <w:name w:val="First Paragraph"/>
    <w:basedOn w:val="a5"/>
    <w:qFormat/>
  </w:style>
  <w:style w:type="paragraph" w:customStyle="1" w:styleId="Compact">
    <w:name w:val="Compact"/>
    <w:basedOn w:val="a5"/>
    <w:qFormat/>
    <w:pPr>
      <w:spacing w:before="36" w:after="36"/>
    </w:pPr>
  </w:style>
  <w:style w:type="paragraph" w:styleId="a7">
    <w:name w:val="Title"/>
    <w:basedOn w:val="a"/>
    <w:qFormat/>
    <w:pPr>
      <w:keepNext/>
      <w:keepLines/>
      <w:spacing w:before="480" w:after="240"/>
    </w:pPr>
    <w:rPr>
      <w:rFonts w:asciiTheme="majorHAnsi" w:eastAsiaTheme="majorEastAsia" w:hAnsiTheme="majorHAnsi" w:cstheme="majorBidi"/>
      <w:b/>
      <w:bCs/>
      <w:color w:val="C0143C"/>
      <w:sz w:val="36"/>
      <w:szCs w:val="36"/>
    </w:rPr>
  </w:style>
  <w:style w:type="paragraph" w:styleId="a8">
    <w:name w:val="Subtitle"/>
    <w:basedOn w:val="a7"/>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a9">
    <w:name w:val="Date"/>
    <w:qFormat/>
    <w:pPr>
      <w:keepNext/>
      <w:keepLines/>
      <w:jc w:val="center"/>
    </w:pPr>
    <w:rPr>
      <w:color w:val="00000A"/>
      <w:sz w:val="24"/>
    </w:rPr>
  </w:style>
  <w:style w:type="paragraph" w:customStyle="1" w:styleId="Abstract">
    <w:name w:val="Abstract"/>
    <w:basedOn w:val="a"/>
    <w:qFormat/>
    <w:pPr>
      <w:keepNext/>
      <w:keepLines/>
      <w:spacing w:before="300" w:after="300"/>
    </w:pPr>
    <w:rPr>
      <w:sz w:val="20"/>
      <w:szCs w:val="20"/>
    </w:rPr>
  </w:style>
  <w:style w:type="paragraph" w:styleId="aa">
    <w:name w:val="Bibliography"/>
    <w:basedOn w:val="a"/>
    <w:qFormat/>
  </w:style>
  <w:style w:type="paragraph" w:styleId="ab">
    <w:name w:val="Block Text"/>
    <w:basedOn w:val="a5"/>
    <w:uiPriority w:val="9"/>
    <w:unhideWhenUsed/>
    <w:qFormat/>
    <w:pPr>
      <w:spacing w:before="100" w:after="100"/>
    </w:pPr>
    <w:rPr>
      <w:rFonts w:asciiTheme="majorHAnsi" w:eastAsiaTheme="majorEastAsia" w:hAnsiTheme="majorHAnsi" w:cstheme="majorBidi"/>
      <w:bCs/>
      <w:sz w:val="20"/>
      <w:szCs w:val="20"/>
    </w:rPr>
  </w:style>
  <w:style w:type="paragraph" w:styleId="ac">
    <w:name w:val="footnote text"/>
    <w:basedOn w:val="a"/>
    <w:link w:val="ad"/>
    <w:uiPriority w:val="99"/>
    <w:unhideWhenUsed/>
    <w:qFormat/>
  </w:style>
  <w:style w:type="paragraph" w:customStyle="1" w:styleId="DefinitionTerm">
    <w:name w:val="Definition Term"/>
    <w:basedOn w:val="a"/>
    <w:qFormat/>
    <w:pPr>
      <w:keepNext/>
      <w:keepLines/>
      <w:spacing w:after="0"/>
    </w:pPr>
    <w:rPr>
      <w:b/>
    </w:rPr>
  </w:style>
  <w:style w:type="paragraph" w:customStyle="1" w:styleId="Definition">
    <w:name w:val="Definition"/>
    <w:basedOn w:val="a"/>
    <w:qFormat/>
  </w:style>
  <w:style w:type="paragraph" w:customStyle="1" w:styleId="TableCaption">
    <w:name w:val="Table Caption"/>
    <w:basedOn w:val="a4"/>
    <w:qFormat/>
    <w:pPr>
      <w:keepNext/>
    </w:pPr>
  </w:style>
  <w:style w:type="paragraph" w:customStyle="1" w:styleId="ImageCaption">
    <w:name w:val="Image Caption"/>
    <w:basedOn w:val="a4"/>
    <w:qFormat/>
  </w:style>
  <w:style w:type="paragraph" w:customStyle="1" w:styleId="Figure">
    <w:name w:val="Figure"/>
    <w:basedOn w:val="a"/>
    <w:qFormat/>
  </w:style>
  <w:style w:type="paragraph" w:customStyle="1" w:styleId="FigurewithCaption">
    <w:name w:val="Figure with Caption"/>
    <w:basedOn w:val="Figure"/>
    <w:qFormat/>
    <w:pPr>
      <w:keepNext/>
    </w:pPr>
  </w:style>
  <w:style w:type="paragraph" w:styleId="ae">
    <w:name w:val="TOC Heading"/>
    <w:basedOn w:val="1"/>
    <w:uiPriority w:val="39"/>
    <w:unhideWhenUsed/>
    <w:qFormat/>
    <w:pPr>
      <w:spacing w:before="240" w:line="259" w:lineRule="auto"/>
    </w:pPr>
    <w:rPr>
      <w:b w:val="0"/>
      <w:bCs w:val="0"/>
    </w:rPr>
  </w:style>
  <w:style w:type="paragraph" w:customStyle="1" w:styleId="Disclaimer">
    <w:name w:val="Disclaimer"/>
    <w:basedOn w:val="a"/>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a"/>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a"/>
    <w:qFormat/>
    <w:pPr>
      <w:jc w:val="center"/>
    </w:pPr>
    <w:rPr>
      <w:sz w:val="28"/>
      <w:u w:val="single"/>
    </w:r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af">
    <w:name w:val="Hyperlink"/>
    <w:basedOn w:val="a0"/>
    <w:uiPriority w:val="99"/>
    <w:unhideWhenUsed/>
    <w:rsid w:val="00FF6BCB"/>
    <w:rPr>
      <w:color w:val="0000FF"/>
      <w:u w:val="single"/>
    </w:rPr>
  </w:style>
  <w:style w:type="paragraph" w:customStyle="1" w:styleId="text-build-content">
    <w:name w:val="text-build-content"/>
    <w:basedOn w:val="a"/>
    <w:rsid w:val="00FF6BCB"/>
    <w:pPr>
      <w:spacing w:before="195" w:after="195"/>
    </w:pPr>
    <w:rPr>
      <w:rFonts w:ascii="Times New Roman" w:hAnsi="Times New Roman" w:cs="Times New Roman"/>
      <w:color w:val="auto"/>
    </w:rPr>
  </w:style>
  <w:style w:type="character" w:styleId="af0">
    <w:name w:val="FollowedHyperlink"/>
    <w:basedOn w:val="a0"/>
    <w:rsid w:val="007212E1"/>
    <w:rPr>
      <w:color w:val="800080" w:themeColor="followedHyperlink"/>
      <w:u w:val="single"/>
    </w:rPr>
  </w:style>
  <w:style w:type="character" w:styleId="af1">
    <w:name w:val="footnote reference"/>
    <w:basedOn w:val="a0"/>
    <w:uiPriority w:val="99"/>
    <w:semiHidden/>
    <w:unhideWhenUsed/>
    <w:rsid w:val="00E81E04"/>
    <w:rPr>
      <w:vertAlign w:val="superscript"/>
    </w:rPr>
  </w:style>
  <w:style w:type="paragraph" w:styleId="af2">
    <w:name w:val="Revision"/>
    <w:hidden/>
    <w:semiHidden/>
    <w:rsid w:val="005B1D82"/>
    <w:rPr>
      <w:color w:val="00000A"/>
      <w:sz w:val="24"/>
    </w:rPr>
  </w:style>
  <w:style w:type="character" w:styleId="af3">
    <w:name w:val="Unresolved Mention"/>
    <w:basedOn w:val="a0"/>
    <w:uiPriority w:val="99"/>
    <w:semiHidden/>
    <w:unhideWhenUsed/>
    <w:rsid w:val="005B1D82"/>
    <w:rPr>
      <w:color w:val="605E5C"/>
      <w:shd w:val="clear" w:color="auto" w:fill="E1DFDD"/>
    </w:rPr>
  </w:style>
  <w:style w:type="character" w:customStyle="1" w:styleId="ad">
    <w:name w:val="Текст сноски Знак"/>
    <w:basedOn w:val="a0"/>
    <w:link w:val="ac"/>
    <w:uiPriority w:val="99"/>
    <w:rsid w:val="00AD2DE0"/>
    <w:rPr>
      <w:color w:val="00000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377407">
      <w:bodyDiv w:val="1"/>
      <w:marLeft w:val="0"/>
      <w:marRight w:val="0"/>
      <w:marTop w:val="0"/>
      <w:marBottom w:val="0"/>
      <w:divBdr>
        <w:top w:val="none" w:sz="0" w:space="0" w:color="auto"/>
        <w:left w:val="none" w:sz="0" w:space="0" w:color="auto"/>
        <w:bottom w:val="none" w:sz="0" w:space="0" w:color="auto"/>
        <w:right w:val="none" w:sz="0" w:space="0" w:color="auto"/>
      </w:divBdr>
    </w:div>
    <w:div w:id="509220623">
      <w:bodyDiv w:val="1"/>
      <w:marLeft w:val="0"/>
      <w:marRight w:val="0"/>
      <w:marTop w:val="0"/>
      <w:marBottom w:val="0"/>
      <w:divBdr>
        <w:top w:val="none" w:sz="0" w:space="0" w:color="auto"/>
        <w:left w:val="none" w:sz="0" w:space="0" w:color="auto"/>
        <w:bottom w:val="none" w:sz="0" w:space="0" w:color="auto"/>
        <w:right w:val="none" w:sz="0" w:space="0" w:color="auto"/>
      </w:divBdr>
    </w:div>
    <w:div w:id="535317630">
      <w:bodyDiv w:val="1"/>
      <w:marLeft w:val="0"/>
      <w:marRight w:val="0"/>
      <w:marTop w:val="0"/>
      <w:marBottom w:val="0"/>
      <w:divBdr>
        <w:top w:val="none" w:sz="0" w:space="0" w:color="auto"/>
        <w:left w:val="none" w:sz="0" w:space="0" w:color="auto"/>
        <w:bottom w:val="none" w:sz="0" w:space="0" w:color="auto"/>
        <w:right w:val="none" w:sz="0" w:space="0" w:color="auto"/>
      </w:divBdr>
    </w:div>
    <w:div w:id="866793900">
      <w:bodyDiv w:val="1"/>
      <w:marLeft w:val="0"/>
      <w:marRight w:val="0"/>
      <w:marTop w:val="0"/>
      <w:marBottom w:val="0"/>
      <w:divBdr>
        <w:top w:val="none" w:sz="0" w:space="0" w:color="auto"/>
        <w:left w:val="none" w:sz="0" w:space="0" w:color="auto"/>
        <w:bottom w:val="none" w:sz="0" w:space="0" w:color="auto"/>
        <w:right w:val="none" w:sz="0" w:space="0" w:color="auto"/>
      </w:divBdr>
    </w:div>
    <w:div w:id="1024672931">
      <w:bodyDiv w:val="1"/>
      <w:marLeft w:val="0"/>
      <w:marRight w:val="0"/>
      <w:marTop w:val="0"/>
      <w:marBottom w:val="0"/>
      <w:divBdr>
        <w:top w:val="none" w:sz="0" w:space="0" w:color="auto"/>
        <w:left w:val="none" w:sz="0" w:space="0" w:color="auto"/>
        <w:bottom w:val="none" w:sz="0" w:space="0" w:color="auto"/>
        <w:right w:val="none" w:sz="0" w:space="0" w:color="auto"/>
      </w:divBdr>
    </w:div>
    <w:div w:id="1255748861">
      <w:bodyDiv w:val="1"/>
      <w:marLeft w:val="0"/>
      <w:marRight w:val="0"/>
      <w:marTop w:val="0"/>
      <w:marBottom w:val="0"/>
      <w:divBdr>
        <w:top w:val="none" w:sz="0" w:space="0" w:color="auto"/>
        <w:left w:val="none" w:sz="0" w:space="0" w:color="auto"/>
        <w:bottom w:val="none" w:sz="0" w:space="0" w:color="auto"/>
        <w:right w:val="none" w:sz="0" w:space="0" w:color="auto"/>
      </w:divBdr>
    </w:div>
    <w:div w:id="1318069087">
      <w:bodyDiv w:val="1"/>
      <w:marLeft w:val="0"/>
      <w:marRight w:val="0"/>
      <w:marTop w:val="0"/>
      <w:marBottom w:val="0"/>
      <w:divBdr>
        <w:top w:val="none" w:sz="0" w:space="0" w:color="auto"/>
        <w:left w:val="none" w:sz="0" w:space="0" w:color="auto"/>
        <w:bottom w:val="none" w:sz="0" w:space="0" w:color="auto"/>
        <w:right w:val="none" w:sz="0" w:space="0" w:color="auto"/>
      </w:divBdr>
    </w:div>
    <w:div w:id="1387684232">
      <w:bodyDiv w:val="1"/>
      <w:marLeft w:val="0"/>
      <w:marRight w:val="0"/>
      <w:marTop w:val="0"/>
      <w:marBottom w:val="0"/>
      <w:divBdr>
        <w:top w:val="none" w:sz="0" w:space="0" w:color="auto"/>
        <w:left w:val="none" w:sz="0" w:space="0" w:color="auto"/>
        <w:bottom w:val="none" w:sz="0" w:space="0" w:color="auto"/>
        <w:right w:val="none" w:sz="0" w:space="0" w:color="auto"/>
      </w:divBdr>
    </w:div>
    <w:div w:id="1543858951">
      <w:bodyDiv w:val="1"/>
      <w:marLeft w:val="0"/>
      <w:marRight w:val="0"/>
      <w:marTop w:val="0"/>
      <w:marBottom w:val="0"/>
      <w:divBdr>
        <w:top w:val="none" w:sz="0" w:space="0" w:color="auto"/>
        <w:left w:val="none" w:sz="0" w:space="0" w:color="auto"/>
        <w:bottom w:val="none" w:sz="0" w:space="0" w:color="auto"/>
        <w:right w:val="none" w:sz="0" w:space="0" w:color="auto"/>
      </w:divBdr>
    </w:div>
    <w:div w:id="1826165397">
      <w:bodyDiv w:val="1"/>
      <w:marLeft w:val="0"/>
      <w:marRight w:val="0"/>
      <w:marTop w:val="0"/>
      <w:marBottom w:val="0"/>
      <w:divBdr>
        <w:top w:val="none" w:sz="0" w:space="0" w:color="auto"/>
        <w:left w:val="none" w:sz="0" w:space="0" w:color="auto"/>
        <w:bottom w:val="none" w:sz="0" w:space="0" w:color="auto"/>
        <w:right w:val="none" w:sz="0" w:space="0" w:color="auto"/>
      </w:divBdr>
    </w:div>
    <w:div w:id="18493717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rltonslaw.com/hong-kong-january-2025-vatp-sfc-compliance-requirements/" TargetMode="External"/><Relationship Id="rId13" Type="http://schemas.openxmlformats.org/officeDocument/2006/relationships/hyperlink" Target="https://apps.sfc.hk/edistributionWeb/gateway/EN/circular/intermediaries/supervision/doc?refNo=25EC3" TargetMode="External"/><Relationship Id="rId18" Type="http://schemas.openxmlformats.org/officeDocument/2006/relationships/hyperlink" Target="https://www.hkex.com.hk/News/Regulatory-Announcements/2025/250116news?sc_lang=en" TargetMode="External"/><Relationship Id="rId3" Type="http://schemas.openxmlformats.org/officeDocument/2006/relationships/styles" Target="styles.xml"/><Relationship Id="rId21" Type="http://schemas.openxmlformats.org/officeDocument/2006/relationships/hyperlink" Target="https://apps.sfc.hk/edistributionWeb/gateway/EN/news-and-announcements/news/enforcement-news/doc?refNo=25PR7" TargetMode="External"/><Relationship Id="rId7" Type="http://schemas.openxmlformats.org/officeDocument/2006/relationships/endnotes" Target="endnotes.xml"/><Relationship Id="rId12" Type="http://schemas.openxmlformats.org/officeDocument/2006/relationships/hyperlink" Target="https://www.sfc.hk/-/media/EN/assets/components/codes/files-current/web/guidelines/Guidelines-for-Virtual-Asset-Trading-Platform-Operators/Guidelines-for-Virtual-Asset-Trading-Platform-Operators.pdf?rev=f6152ff73d2b4e8a8ce9dc025030c3b8" TargetMode="External"/><Relationship Id="rId17" Type="http://schemas.openxmlformats.org/officeDocument/2006/relationships/hyperlink" Target="http://xh7w2.mjt.lu/lnk/Ab8AABRn8CMAAAAAAAAAACPMgIEAAAAAqDcAAAAAABSLZwBnpCY6-drKJK28RwWp-Dlyr3DayAAUYZc/10/I-SKxOqadHjQxtApzc1pfQ/aHR0cHM6Ly9hcHBzLnNmYy5oay9lZGlzdHJpYnV0aW9uV2ViL2dhdGV3YXkvRU4vbmV3cy1hbmQtYW5ub3VuY2VtZW50cy9uZXdzL2RvYz9yZWZObz0yNVBSM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pps.sfc.hk/edistributionWeb/api/news/openAppendix?lang=EN&amp;refNo=25PR14&amp;appendix=0" TargetMode="External"/><Relationship Id="rId20" Type="http://schemas.openxmlformats.org/officeDocument/2006/relationships/hyperlink" Target="https://www.sfc.hk/en/News-and-announcements/Policy-statements-and-announcements/Joint-statement-of-the-SFC-and-the-AFR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xh7w2.mjt.lu/lnk/Ab8AABRn8CMAAAAAAAAAACPMgIEAAAAAqDcAAAAAABSLZwBnpCY6-drKJK28RwWp-Dlyr3DayAAUYZc/6/Mo_r3ANnxibM2438jWxCCg/aHR0cHM6Ly9hcHBzLnNmYy5oay9lZGlzdHJpYnV0aW9uV2ViL2FwaS9jaXJjdWxhci9vcGVuQXBwZW5kaXg_bGFuZz1FTiZyZWZObz0yNUVDMyZhcHBlbmRpeD0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pps.sfc.hk/edistributionWeb/gateway/EN/news-and-announcements/news/doc?refNo=25PR14" TargetMode="External"/><Relationship Id="rId23" Type="http://schemas.openxmlformats.org/officeDocument/2006/relationships/hyperlink" Target="mailto:unsubscribe@charltonslaw.com?subject=unsubscribe%20-Hong%20Kong%20Law-" TargetMode="External"/><Relationship Id="rId10" Type="http://schemas.openxmlformats.org/officeDocument/2006/relationships/hyperlink" Target="http://xh7w2.mjt.lu/lnk/Ab8AABRn8CMAAAAAAAAAACPMgIEAAAAAqDcAAAAAABSLZwBnpCY6-drKJK28RwWp-Dlyr3DayAAUYZc/5/ZvWY3XHppj6_yNM1NA_QxQ/aHR0cHM6Ly9hcHBzLnNmYy5oay9lZGlzdHJpYnV0aW9uV2ViL2FwaS9jaXJjdWxhci9vcGVuQXBwZW5kaXg_bGFuZz1FTiZyZWZObz0yNUVDMyZhcHBlbmRpeD0w" TargetMode="External"/><Relationship Id="rId19" Type="http://schemas.openxmlformats.org/officeDocument/2006/relationships/hyperlink" Target="https://www.hkex.com.hk/-/media/HKEX-Market/Listing/Rules-and-Guidance/Disciplinary-and-Enforcement/Disciplinary-Sanctions/2025/250116_SoDA.pdf" TargetMode="External"/><Relationship Id="rId4" Type="http://schemas.openxmlformats.org/officeDocument/2006/relationships/settings" Target="settings.xml"/><Relationship Id="rId9" Type="http://schemas.openxmlformats.org/officeDocument/2006/relationships/hyperlink" Target="http://xh7w2.mjt.lu/lnk/Ab8AABRn8CMAAAAAAAAAACPMgIEAAAAAqDcAAAAAABSLZwBnpCY6-drKJK28RwWp-Dlyr3DayAAUYZc/4/zzPUgnjdjoxZbYnFfKjpEQ/aHR0cHM6Ly9hcHBzLnNmYy5oay9lZGlzdHJpYnV0aW9uV2ViL2FwaS9jaXJjdWxhci9vcGVuRmlsZT9sYW5nPUVOJnJlZk5vPTI1RUMz" TargetMode="External"/><Relationship Id="rId14" Type="http://schemas.openxmlformats.org/officeDocument/2006/relationships/hyperlink" Target="http://xh7w2.mjt.lu/lnk/Ab8AABRn8CMAAAAAAAAAACPMgIEAAAAAqDcAAAAAABSLZwBnpCY6-drKJK28RwWp-Dlyr3DayAAUYZc/7/IEVLf6-be-JZFryMQkd_gw/aHR0cHM6Ly9hcHBzLnNmYy5oay9lZGlzdHJpYnV0aW9uV2ViL2dhdGV3YXkvRU4vY2lyY3VsYXIvaW50ZXJtZWRpYXJpZXMvc3VwZXJ2aXNpb24vZG9jP3JlZk5vPTI1RUMz" TargetMode="External"/><Relationship Id="rId22" Type="http://schemas.openxmlformats.org/officeDocument/2006/relationships/hyperlink" Target="http://xh7w2.mjt.lu/lnk/Ab8AABRn8CMAAAAAAAAAACPMgIEAAAAAqDcAAAAAABSLZwBnpCY6-drKJK28RwWp-Dlyr3DayAAUYZc/12/iLM8mFQThC_40HJBPhAuDQ/aHR0cHM6Ly93d3cuaGttYS5nb3YuaGsvZW5nL25ld3MtYW5kLW1lZGlhL3ByZXNzLXJlbGVhc2VzLzIwMjUvMDEvMjAyNTAxMjEtMy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96281-2D48-45D7-90E3-EF58EA3DD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3391</Words>
  <Characters>19332</Characters>
  <Application>Microsoft Office Word</Application>
  <DocSecurity>0</DocSecurity>
  <Lines>161</Lines>
  <Paragraphs>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Charltons</Company>
  <LinksUpToDate>false</LinksUpToDate>
  <CharactersWithSpaces>22678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Larkin</dc:creator>
  <cp:keywords/>
  <cp:lastModifiedBy>Microsoft Office User</cp:lastModifiedBy>
  <cp:revision>7</cp:revision>
  <dcterms:created xsi:type="dcterms:W3CDTF">2025-02-11T12:15:00Z</dcterms:created>
  <dcterms:modified xsi:type="dcterms:W3CDTF">2025-02-14T04:01:00Z</dcterms:modified>
</cp:coreProperties>
</file>